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900"/>
      </w:pPr>
      <w:r>
        <w:drawing>
          <wp:anchor distT="0" distB="0" distL="0" distR="0" simplePos="0" allowOverlap="1" behindDoc="1" locked="0" layoutInCell="0" relativeHeight="10696575">
            <wp:simplePos x="0" y="0"/>
            <wp:positionH relativeFrom="page">
              <wp:posOffset>0</wp:posOffset>
            </wp:positionH>
            <wp:positionV relativeFrom="page">
              <wp:posOffset>0</wp:posOffset>
            </wp:positionV>
            <wp:extent cx="7562850" cy="10696575"/>
            <wp:effectExtent t="0" r="0" b="0" l="0"/>
            <wp:wrapNone/>
            <wp:docPr id="1" name="Privora cover backdrop" descr="Privora cover backdrop" title="Privora document c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7562850" cy="10696575"/>
                    </a:xfrm>
                    <a:prstGeom prst="rect">
                      <a:avLst/>
                    </a:prstGeom>
                  </pic:spPr>
                </pic:pic>
              </a:graphicData>
            </a:graphic>
          </wp:anchor>
        </w:drawing>
      </w:r>
      <w:r>
        <w:drawing>
          <wp:inline distT="0" distB="0" distL="0" distR="0">
            <wp:extent cx="2190750" cy="523875"/>
            <wp:effectExtent t="0" r="0" b="0" l="0"/>
            <wp:docPr id="1" name="Privora reversed logo" descr="Privora reversed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2190750" cy="523875"/>
                    </a:xfrm>
                    <a:prstGeom prst="rect">
                      <a:avLst/>
                    </a:prstGeom>
                  </pic:spPr>
                </pic:pic>
              </a:graphicData>
            </a:graphic>
          </wp:inline>
        </w:drawing>
      </w:r>
    </w:p>
    <w:p>
      <w:pPr>
        <w:spacing w:after="180"/>
      </w:pPr>
      <w:r>
        <w:rPr>
          <w:rFonts w:ascii="Arial" w:cs="Arial" w:eastAsia="Arial" w:hAnsi="Arial"/>
          <w:b/>
          <w:bCs/>
          <w:color w:val="C89B3C"/>
          <w:sz w:val="18"/>
          <w:szCs w:val="18"/>
        </w:rPr>
        <w:t xml:space="preserve">PRIVACY OPERATIONS · PRIVORA PRO · WORKBOOK</w:t>
      </w:r>
    </w:p>
    <w:p>
      <w:pPr>
        <w:pStyle w:val="PrivoraTitle"/>
      </w:pPr>
      <w:r>
        <w:rPr>
          <w:rFonts w:ascii="Arial" w:cs="Arial" w:eastAsia="Arial" w:hAnsi="Arial"/>
          <w:b/>
          <w:bCs/>
          <w:color w:val="FFFFFF"/>
          <w:sz w:val="56"/>
          <w:szCs w:val="56"/>
        </w:rPr>
        <w:t xml:space="preserve">Prepare and record an accountable personal data breach response</w:t>
      </w:r>
    </w:p>
    <w:p>
      <w:pPr>
        <w:spacing w:after="220"/>
      </w:pPr>
      <w:r>
        <w:rPr>
          <w:rFonts w:ascii="Arial" w:cs="Arial" w:eastAsia="Arial" w:hAnsi="Arial"/>
          <w:color w:val="D8E1EA"/>
          <w:sz w:val="22"/>
          <w:szCs w:val="22"/>
        </w:rPr>
        <w:t xml:space="preserve">Prepare owners, timelines, evidence references, risk decisions, communications, remediation, and closure without copying sensitive payloads.</w:t>
      </w:r>
    </w:p>
    <w:p>
      <w:pPr>
        <w:pBdr>
          <w:left w:val="single" w:color="C89B3C" w:sz="18"/>
        </w:pBdr>
        <w:spacing w:after="80" w:before="260" w:line="288"/>
      </w:pPr>
      <w:r>
        <w:rPr>
          <w:rFonts w:ascii="Arial" w:cs="Arial" w:eastAsia="Arial" w:hAnsi="Arial"/>
          <w:b/>
          <w:bCs/>
          <w:color w:val="C89B3C"/>
          <w:sz w:val="16"/>
          <w:szCs w:val="16"/>
        </w:rPr>
        <w:t xml:space="preserve">Primary action</w:t>
      </w:r>
      <w:r>
        <w:rPr>
          <w:rFonts w:ascii="Arial" w:cs="Arial" w:eastAsia="Arial" w:hAnsi="Arial"/>
          <w:b/>
          <w:bCs/>
          <w:color w:val="FFFFFF"/>
          <w:sz w:val="21"/>
          <w:szCs w:val="21"/>
        </w:rPr>
        <w:br/>
        <w:t xml:space="preserve">Complete the working pages, then update the client breach record.</w:t>
      </w:r>
    </w:p>
    <w:p>
      <w:pPr>
        <w:spacing w:before="400"/>
      </w:pPr>
      <w:r>
        <w:rPr>
          <w:rFonts w:ascii="Arial" w:cs="Arial" w:eastAsia="Arial" w:hAnsi="Arial"/>
          <w:color w:val="D8E1EA"/>
          <w:sz w:val="18"/>
          <w:szCs w:val="18"/>
        </w:rPr>
        <w:t xml:space="preserve">Version: 1.0.0</w:t>
      </w:r>
      <w:r>
        <w:rPr>
          <w:rFonts w:ascii="Arial" w:cs="Arial" w:eastAsia="Arial" w:hAnsi="Arial"/>
          <w:color w:val="D8E1EA"/>
          <w:sz w:val="18"/>
          <w:szCs w:val="18"/>
        </w:rPr>
        <w:br/>
        <w:t xml:space="preserve">Reviewed: 2026-08-12</w:t>
      </w:r>
      <w:r>
        <w:rPr>
          <w:rFonts w:ascii="Arial" w:cs="Arial" w:eastAsia="Arial" w:hAnsi="Arial"/>
          <w:color w:val="D8E1EA"/>
          <w:sz w:val="18"/>
          <w:szCs w:val="18"/>
        </w:rPr>
        <w:br/>
        <w:t xml:space="preserve">https://docs.privora.ng/pro/operating-library/breach-response</w:t>
      </w:r>
    </w:p>
    <w:p>
      <w:r>
        <w:br w:type="page"/>
      </w:r>
    </w:p>
    <w:p>
      <w:pPr>
        <w:pStyle w:val="Heading1"/>
        <w:pStyle w:val="Heading1"/>
      </w:pPr>
      <w:r>
        <w:rPr>
          <w:rFonts w:ascii="Arial" w:cs="Arial" w:eastAsia="Arial" w:hAnsi="Arial"/>
          <w:b/>
          <w:bCs/>
          <w:color w:val="07172D"/>
          <w:sz w:val="34"/>
          <w:szCs w:val="34"/>
        </w:rPr>
        <w:t xml:space="preserve">Important legal and use notice</w:t>
      </w:r>
    </w:p>
    <w:p>
      <w:pPr>
        <w:spacing w:after="240" w:line="252"/>
      </w:pPr>
      <w:r>
        <w:rPr>
          <w:rFonts w:ascii="Arial" w:cs="Arial" w:eastAsia="Arial" w:hAnsi="Arial"/>
          <w:color w:val="52637A"/>
          <w:sz w:val="17"/>
          <w:szCs w:val="17"/>
        </w:rPr>
        <w:t xml:space="preserve">Title: Prepare and record an accountable personal data breach response</w:t>
      </w:r>
      <w:r>
        <w:rPr>
          <w:rFonts w:ascii="Arial" w:cs="Arial" w:eastAsia="Arial" w:hAnsi="Arial"/>
          <w:color w:val="52637A"/>
          <w:sz w:val="17"/>
          <w:szCs w:val="17"/>
        </w:rPr>
        <w:br/>
        <w:t xml:space="preserve">Version: 1.0.0</w:t>
      </w:r>
      <w:r>
        <w:rPr>
          <w:rFonts w:ascii="Arial" w:cs="Arial" w:eastAsia="Arial" w:hAnsi="Arial"/>
          <w:color w:val="52637A"/>
          <w:sz w:val="17"/>
          <w:szCs w:val="17"/>
        </w:rPr>
        <w:br/>
        <w:t xml:space="preserve">Reviewed: 2026-08-12</w:t>
      </w:r>
      <w:r>
        <w:rPr>
          <w:rFonts w:ascii="Arial" w:cs="Arial" w:eastAsia="Arial" w:hAnsi="Arial"/>
          <w:color w:val="52637A"/>
          <w:sz w:val="17"/>
          <w:szCs w:val="17"/>
        </w:rPr>
        <w:br/>
        <w:t xml:space="preserve">Canonical URL: https://docs.privora.ng/pro/operating-library/breach-response</w:t>
      </w:r>
    </w:p>
    <w:p>
      <w:pPr>
        <w:keepNext/>
        <w:spacing w:after="40" w:before="80"/>
      </w:pPr>
      <w:r>
        <w:rPr>
          <w:rFonts w:ascii="Arial" w:cs="Arial" w:eastAsia="Arial" w:hAnsi="Arial"/>
          <w:b/>
          <w:bCs/>
          <w:color w:val="C89B3C"/>
          <w:sz w:val="19"/>
          <w:szCs w:val="19"/>
        </w:rPr>
        <w:t xml:space="preserve">Purpose</w:t>
      </w:r>
    </w:p>
    <w:p>
      <w:pPr>
        <w:spacing w:after="100" w:line="252"/>
      </w:pPr>
      <w:r>
        <w:rPr>
          <w:rFonts w:ascii="Arial" w:cs="Arial" w:eastAsia="Arial" w:hAnsi="Arial"/>
          <w:color w:val="10233E"/>
          <w:sz w:val="18"/>
          <w:szCs w:val="18"/>
        </w:rPr>
        <w:t xml:space="preserve">This document is a Privora operational resource designed to help teams organize privacy work, evidence, ownership, review, and reporting.</w:t>
      </w:r>
    </w:p>
    <w:p>
      <w:pPr>
        <w:keepNext/>
        <w:spacing w:after="40" w:before="80"/>
      </w:pPr>
      <w:r>
        <w:rPr>
          <w:rFonts w:ascii="Arial" w:cs="Arial" w:eastAsia="Arial" w:hAnsi="Arial"/>
          <w:b/>
          <w:bCs/>
          <w:color w:val="C89B3C"/>
          <w:sz w:val="19"/>
          <w:szCs w:val="19"/>
        </w:rPr>
        <w:t xml:space="preserve">Not legal advice</w:t>
      </w:r>
    </w:p>
    <w:p>
      <w:pPr>
        <w:spacing w:after="100" w:line="252"/>
      </w:pPr>
      <w:r>
        <w:rPr>
          <w:rFonts w:ascii="Arial" w:cs="Arial" w:eastAsia="Arial" w:hAnsi="Arial"/>
          <w:color w:val="10233E"/>
          <w:sz w:val="18"/>
          <w:szCs w:val="18"/>
        </w:rPr>
        <w:t xml:space="preserve">This document provides general operational guidance. It is not legal advice and does not replace advice from qualified legal or regulatory professionals.</w:t>
      </w:r>
    </w:p>
    <w:p>
      <w:pPr>
        <w:keepNext/>
        <w:spacing w:after="40" w:before="80"/>
      </w:pPr>
      <w:r>
        <w:rPr>
          <w:rFonts w:ascii="Arial" w:cs="Arial" w:eastAsia="Arial" w:hAnsi="Arial"/>
          <w:b/>
          <w:bCs/>
          <w:color w:val="C89B3C"/>
          <w:sz w:val="19"/>
          <w:szCs w:val="19"/>
        </w:rPr>
        <w:t xml:space="preserve">No guarantee</w:t>
      </w:r>
    </w:p>
    <w:p>
      <w:pPr>
        <w:spacing w:after="100" w:line="252"/>
      </w:pPr>
      <w:r>
        <w:rPr>
          <w:rFonts w:ascii="Arial" w:cs="Arial" w:eastAsia="Arial" w:hAnsi="Arial"/>
          <w:color w:val="10233E"/>
          <w:sz w:val="18"/>
          <w:szCs w:val="18"/>
        </w:rPr>
        <w:t xml:space="preserve">Use of this document or Privora does not guarantee compliance with any law, regulation, standard, or contractual obligation.</w:t>
      </w:r>
    </w:p>
    <w:p>
      <w:pPr>
        <w:keepNext/>
        <w:spacing w:after="40" w:before="80"/>
      </w:pPr>
      <w:r>
        <w:rPr>
          <w:rFonts w:ascii="Arial" w:cs="Arial" w:eastAsia="Arial" w:hAnsi="Arial"/>
          <w:b/>
          <w:bCs/>
          <w:color w:val="C89B3C"/>
          <w:sz w:val="19"/>
          <w:szCs w:val="19"/>
        </w:rPr>
        <w:t xml:space="preserve">Current requirements</w:t>
      </w:r>
    </w:p>
    <w:p>
      <w:pPr>
        <w:spacing w:after="100" w:line="252"/>
      </w:pPr>
      <w:r>
        <w:rPr>
          <w:rFonts w:ascii="Arial" w:cs="Arial" w:eastAsia="Arial" w:hAnsi="Arial"/>
          <w:color w:val="10233E"/>
          <w:sz w:val="18"/>
          <w:szCs w:val="18"/>
        </w:rPr>
        <w:t xml:space="preserve">Laws, regulatory guidance, product workflows, and organizational obligations may change. Users are responsible for confirming the current requirements that apply to their circumstances before acting.</w:t>
      </w:r>
    </w:p>
    <w:p>
      <w:pPr>
        <w:keepNext/>
        <w:spacing w:after="40" w:before="80"/>
      </w:pPr>
      <w:r>
        <w:rPr>
          <w:rFonts w:ascii="Arial" w:cs="Arial" w:eastAsia="Arial" w:hAnsi="Arial"/>
          <w:b/>
          <w:bCs/>
          <w:color w:val="C89B3C"/>
          <w:sz w:val="19"/>
          <w:szCs w:val="19"/>
        </w:rPr>
        <w:t xml:space="preserve">Generated and reviewed material</w:t>
      </w:r>
    </w:p>
    <w:p>
      <w:pPr>
        <w:spacing w:after="100" w:line="252"/>
      </w:pPr>
      <w:r>
        <w:rPr>
          <w:rFonts w:ascii="Arial" w:cs="Arial" w:eastAsia="Arial" w:hAnsi="Arial"/>
          <w:color w:val="10233E"/>
          <w:sz w:val="18"/>
          <w:szCs w:val="18"/>
        </w:rPr>
        <w:t xml:space="preserve">This document was generated by Privora from the canonical operating kit identified on this page. Human review remains required before the document is relied upon or shared.</w:t>
      </w:r>
    </w:p>
    <w:p>
      <w:pPr>
        <w:keepNext/>
        <w:spacing w:after="40" w:before="80"/>
      </w:pPr>
      <w:r>
        <w:rPr>
          <w:rFonts w:ascii="Arial" w:cs="Arial" w:eastAsia="Arial" w:hAnsi="Arial"/>
          <w:b/>
          <w:bCs/>
          <w:color w:val="C89B3C"/>
          <w:sz w:val="19"/>
          <w:szCs w:val="19"/>
        </w:rPr>
        <w:t xml:space="preserve">Data handling</w:t>
      </w:r>
    </w:p>
    <w:p>
      <w:pPr>
        <w:spacing w:after="100" w:line="252"/>
      </w:pPr>
      <w:r>
        <w:rPr>
          <w:rFonts w:ascii="Arial" w:cs="Arial" w:eastAsia="Arial" w:hAnsi="Arial"/>
          <w:color w:val="10233E"/>
          <w:sz w:val="18"/>
          <w:szCs w:val="18"/>
        </w:rPr>
        <w:t xml:space="preserve">Do not enter personal, sensitive, privileged, or confidential information into uncontrolled copies. Store approved operational records only in authorized systems and follow your organization’s access, retention, and handling policies.</w:t>
      </w:r>
    </w:p>
    <w:p>
      <w:pPr>
        <w:keepNext/>
        <w:spacing w:after="40" w:before="80"/>
      </w:pPr>
      <w:r>
        <w:rPr>
          <w:rFonts w:ascii="Arial" w:cs="Arial" w:eastAsia="Arial" w:hAnsi="Arial"/>
          <w:b/>
          <w:bCs/>
          <w:color w:val="C89B3C"/>
          <w:sz w:val="19"/>
          <w:szCs w:val="19"/>
        </w:rPr>
        <w:t xml:space="preserve">Use and intellectual property</w:t>
      </w:r>
    </w:p>
    <w:p>
      <w:pPr>
        <w:spacing w:after="100" w:line="252"/>
      </w:pPr>
      <w:r>
        <w:rPr>
          <w:rFonts w:ascii="Arial" w:cs="Arial" w:eastAsia="Arial" w:hAnsi="Arial"/>
          <w:color w:val="10233E"/>
          <w:sz w:val="18"/>
          <w:szCs w:val="18"/>
        </w:rPr>
        <w:t xml:space="preserve">© 2026 Privora. Privacy Operations. Use, copying, modification, and redistribution are subject to applicable Privora terms, licences, and permissions.</w:t>
      </w:r>
    </w:p>
    <w:p>
      <w:pPr>
        <w:keepNext/>
        <w:spacing w:after="40" w:before="80"/>
      </w:pPr>
      <w:r>
        <w:rPr>
          <w:rFonts w:ascii="Arial" w:cs="Arial" w:eastAsia="Arial" w:hAnsi="Arial"/>
          <w:b/>
          <w:bCs/>
          <w:color w:val="C89B3C"/>
          <w:sz w:val="19"/>
          <w:szCs w:val="19"/>
        </w:rPr>
        <w:t xml:space="preserve">Change notice</w:t>
      </w:r>
    </w:p>
    <w:p>
      <w:pPr>
        <w:spacing w:after="100" w:line="252"/>
      </w:pPr>
      <w:r>
        <w:rPr>
          <w:rFonts w:ascii="Arial" w:cs="Arial" w:eastAsia="Arial" w:hAnsi="Arial"/>
          <w:color w:val="10233E"/>
          <w:sz w:val="18"/>
          <w:szCs w:val="18"/>
        </w:rPr>
        <w:t xml:space="preserve">This document reflects the version and reviewed sources identified on this page. Product workflows and authoritative guidance may change, and a later release may supersede this document.</w:t>
      </w:r>
    </w:p>
    <w:p>
      <w:r>
        <w:br w:type="page"/>
      </w:r>
    </w:p>
    <w:p>
      <w:pPr>
        <w:pStyle w:val="Heading1"/>
        <w:pStyle w:val="Heading1"/>
      </w:pPr>
      <w:r>
        <w:rPr>
          <w:rFonts w:ascii="Arial" w:cs="Arial" w:eastAsia="Arial" w:hAnsi="Arial"/>
          <w:b/>
          <w:bCs/>
          <w:color w:val="10233E"/>
          <w:sz w:val="21"/>
          <w:szCs w:val="21"/>
        </w:rPr>
        <w:t xml:space="preserve">Prepare and record an accountable personal data breach response</w:t>
      </w:r>
    </w:p>
    <w:p>
      <w:pPr>
        <w:shd w:fill="FBF4E5" w:val="clear"/>
      </w:pPr>
      <w:r>
        <w:rPr>
          <w:rFonts w:ascii="Arial" w:cs="Arial" w:eastAsia="Arial" w:hAnsi="Arial"/>
          <w:b/>
          <w:bCs/>
          <w:color w:val="07172D"/>
          <w:sz w:val="21"/>
          <w:szCs w:val="21"/>
        </w:rPr>
        <w:t xml:space="preserve">Operational guidance — not legal advice. This guide does not guarantee compliance. Privora Pro does not file, submit, send, or lodge regulatory notices automatically.</w:t>
      </w:r>
    </w:p>
    <w:p>
      <w:r>
        <w:rPr>
          <w:rFonts w:ascii="Arial" w:cs="Arial" w:eastAsia="Arial" w:hAnsi="Arial"/>
          <w:color w:val="10233E"/>
          <w:sz w:val="21"/>
          <w:szCs w:val="21"/>
        </w:rPr>
        <w:t xml:space="preserve">This blank workbook structures professional review; it does not make a notification decision, replace incident command, or prove external filing. Confirm current requirements and the facts of the incident with accountable reviewers.</w:t>
      </w:r>
    </w:p>
    <w:p>
      <w:r>
        <w:rPr>
          <w:rFonts w:ascii="Arial" w:cs="Arial" w:eastAsia="Arial" w:hAnsi="Arial"/>
          <w:color w:val="10233E"/>
          <w:sz w:val="21"/>
          <w:szCs w:val="21"/>
        </w:rPr>
        <w:t xml:space="preserve">Confidentiality control: Assign a neutral incident reference and restrict this workbook to the response team. Do not place raw incident payloads, credentials, full identity documents, or copied sensitive records in this workbook. Keep live evidence, personal data, forensic material, affected-person lists, and delivery records in approved systems. Use safe references here, then enter approved information in the correct Privora Pro client workspace.</w:t>
      </w:r>
    </w:p>
    <w:p>
      <w:r>
        <w:rPr>
          <w:rFonts w:ascii="Arial" w:cs="Arial" w:eastAsia="Arial" w:hAnsi="Arial"/>
          <w:color w:val="10233E"/>
          <w:sz w:val="21"/>
          <w:szCs w:val="21"/>
        </w:rPr>
        <w:t xml:space="preserve">Privora Pro remains the operating record after approved information is entered. This workbook is a preparation and review aid. Destroy or retain completed working copies according to the organization's authorized incident and records procedure.</w:t>
      </w:r>
    </w:p>
    <w:p>
      <w:pPr>
        <w:pStyle w:val="Heading2"/>
        <w:pStyle w:val="Heading2"/>
      </w:pPr>
      <w:r>
        <w:rPr>
          <w:rFonts w:ascii="Arial" w:cs="Arial" w:eastAsia="Arial" w:hAnsi="Arial"/>
          <w:b/>
          <w:bCs/>
          <w:color w:val="10233E"/>
          <w:sz w:val="21"/>
          <w:szCs w:val="21"/>
        </w:rPr>
        <w:t xml:space="preserve">Working-page controls</w:t>
      </w:r>
    </w:p>
    <w:p>
      <w:r>
        <w:rPr>
          <w:rFonts w:ascii="Arial" w:cs="Arial" w:eastAsia="Arial" w:hAnsi="Arial"/>
          <w:color w:val="10233E"/>
          <w:sz w:val="21"/>
          <w:szCs w:val="21"/>
        </w:rPr>
        <w:t xml:space="preserve">Record the workbook owner, current review state, and permitted audience. Use one version at a time. Mark estimates and disagreements clearly. Do not turn an empty field into a guessed answer merely to make the pack appear complete.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Neutral incident reference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Workbook owner and role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Current review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Approved confidentiality classification</w:t>
      </w:r>
      <w:r>
        <w:rPr>
          <w:rFonts w:ascii="Arial" w:cs="Arial" w:eastAsia="Arial" w:hAnsi="Arial"/>
          <w:color w:val="52637A"/>
          <w:sz w:val="21"/>
          <w:szCs w:val="21"/>
        </w:rPr>
        <w:br/>
        <w:t xml:space="preserve">☐ Restricted
☐ Confidential
☐ Internal</w:t>
      </w:r>
    </w:p>
    <w:p>
      <w:pPr>
        <w:pStyle w:val="Heading2"/>
        <w:pStyle w:val="Heading2"/>
      </w:pPr>
      <w:r>
        <w:rPr>
          <w:rFonts w:ascii="Arial" w:cs="Arial" w:eastAsia="Arial" w:hAnsi="Arial"/>
          <w:b/>
          <w:bCs/>
          <w:color w:val="10233E"/>
          <w:sz w:val="21"/>
          <w:szCs w:val="21"/>
        </w:rPr>
        <w:t xml:space="preserve">Safe incident command sheet</w:t>
      </w:r>
    </w:p>
    <w:p>
      <w:r>
        <w:rPr>
          <w:rFonts w:ascii="Arial" w:cs="Arial" w:eastAsia="Arial" w:hAnsi="Arial"/>
          <w:color w:val="10233E"/>
          <w:sz w:val="21"/>
          <w:szCs w:val="21"/>
        </w:rPr>
        <w:t xml:space="preserve">Name the response authority and the secure systems used for communication and evidence. Do not copy access details into this page. Confirm alternates so urgent work does not stop when one person is unavailable.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Incident lead and alternate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DPO or privacy decision owner and alternate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Security or forensic lead and alternate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Communications owner and approver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Management reviewer with residual-risk authority</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Approved secure coordination location reference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Awareness and fact timeline</w:t>
      </w:r>
    </w:p>
    <w:p>
      <w:r>
        <w:rPr>
          <w:rFonts w:ascii="Arial" w:cs="Arial" w:eastAsia="Arial" w:hAnsi="Arial"/>
          <w:color w:val="10233E"/>
          <w:sz w:val="21"/>
          <w:szCs w:val="21"/>
        </w:rPr>
        <w:t xml:space="preserve">Separate suspected incident time, discovery time, controller awareness, and later fact changes. State the source for each time in the narrative rather than adjusting dates to match an internal target.</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Suspected incident date and time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Initial discovery date and time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Controller awareness date and time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Basis and source for the controller awareness time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Material fact and action timeline with source references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shd w:fill="E9F7F5" w:val="clear"/>
      </w:pPr>
      <w:r>
        <w:rPr>
          <w:rFonts w:ascii="Arial" w:cs="Arial" w:eastAsia="Arial" w:hAnsi="Arial"/>
          <w:color w:val="10233E"/>
          <w:sz w:val="21"/>
          <w:szCs w:val="21"/>
        </w:rPr>
        <w:t xml:space="preserve">A controller notifies the Commission within 72 hours after becoming aware of a breach when the breach is likely to result in a risk to the rights and freedoms of individuals. Where feasible applies to the notice details, not to the notification window. Missing information may be provided in phases without undue delay. High-risk communication to affected data subjects is immediate.</w:t>
      </w:r>
    </w:p>
    <w:p>
      <w:pPr>
        <w:pStyle w:val="PrivoraCitation"/>
      </w:pPr>
      <w:r>
        <w:rPr>
          <w:rFonts w:ascii="Arial" w:cs="Arial" w:eastAsia="Arial" w:hAnsi="Arial"/>
          <w:color w:val="52637A"/>
          <w:sz w:val="17"/>
          <w:szCs w:val="17"/>
        </w:rPr>
        <w:t xml:space="preserve">Reviewed 2026-08-12 against the linked source material.</w:t>
      </w:r>
    </w:p>
    <w:p>
      <w:pPr>
        <w:pStyle w:val="Heading2"/>
        <w:pStyle w:val="Heading2"/>
      </w:pPr>
      <w:r>
        <w:rPr>
          <w:rFonts w:ascii="Arial" w:cs="Arial" w:eastAsia="Arial" w:hAnsi="Arial"/>
          <w:b/>
          <w:bCs/>
          <w:color w:val="10233E"/>
          <w:sz w:val="21"/>
          <w:szCs w:val="21"/>
        </w:rPr>
        <w:t xml:space="preserve">Containment and evidence index</w:t>
      </w:r>
    </w:p>
    <w:p>
      <w:r>
        <w:rPr>
          <w:rFonts w:ascii="Arial" w:cs="Arial" w:eastAsia="Arial" w:hAnsi="Arial"/>
          <w:color w:val="10233E"/>
          <w:sz w:val="21"/>
          <w:szCs w:val="21"/>
        </w:rPr>
        <w:t xml:space="preserve">Summarize containment and reference evidence without reproducing it. Note whether an action was validated and what risk remains. Preserve provenance and access controls in the evidence repository.</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Current containment status</w:t>
      </w:r>
      <w:r>
        <w:rPr>
          <w:rFonts w:ascii="Arial" w:cs="Arial" w:eastAsia="Arial" w:hAnsi="Arial"/>
          <w:color w:val="52637A"/>
          <w:sz w:val="21"/>
          <w:szCs w:val="21"/>
        </w:rPr>
        <w:br/>
        <w:t xml:space="preserve">☐ Contained
☐ Partially contained
☐ Not contained
☐ Unknown</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Containment actions, owners, times, and validation results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Known or credible continuing exposure and escalation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Evidence references, custodians, provenance, and access location</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Evidence preservation gaps and recovery owners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Affected people, data, systems, and processors</w:t>
      </w:r>
    </w:p>
    <w:p>
      <w:r>
        <w:rPr>
          <w:rFonts w:ascii="Arial" w:cs="Arial" w:eastAsia="Arial" w:hAnsi="Arial"/>
          <w:color w:val="10233E"/>
          <w:sz w:val="21"/>
          <w:szCs w:val="21"/>
        </w:rPr>
        <w:t xml:space="preserve">Use categories and bounded estimates. Never list affected people here. Explain the method and limitations behind each estimate.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Affected-person categories and relevant vulnerability factors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Approximate affected-person count or range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Approximate affected-record count or range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Estimate method, time produced, confidence, and limitations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Affected data categories</w:t>
      </w:r>
      <w:r>
        <w:rPr>
          <w:rFonts w:ascii="Arial" w:cs="Arial" w:eastAsia="Arial" w:hAnsi="Arial"/>
          <w:color w:val="52637A"/>
          <w:sz w:val="21"/>
          <w:szCs w:val="21"/>
        </w:rPr>
        <w:br/>
        <w:t xml:space="preserve">☐ Identity and contact
☐ Financial
☐ Authentication
☐ Health
☐ Biometric
☐ Employment
☐ Location
☐ Communications
☐ Children's data
☐ Other reviewed category</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Affected systems, processes, environments, and interfaces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Processor or recipient involvement, notices, and outstanding facts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Risk and notification decision record</w:t>
      </w:r>
    </w:p>
    <w:p>
      <w:r>
        <w:rPr>
          <w:rFonts w:ascii="Arial" w:cs="Arial" w:eastAsia="Arial" w:hAnsi="Arial"/>
          <w:color w:val="10233E"/>
          <w:sz w:val="21"/>
          <w:szCs w:val="21"/>
        </w:rPr>
        <w:t xml:space="preserve">Record the rights-and-freedoms analysis and the two distinct notification questions. Preserve dissent and reassessment triggers. The product does not decide these questions.</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Potential harms to affected individuals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Likelihood, severity, protection, vulnerability, and mitigation factors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Is the breach likely to result in risk to rights and freedoms?</w:t>
      </w:r>
      <w:r>
        <w:rPr>
          <w:rFonts w:ascii="Arial" w:cs="Arial" w:eastAsia="Arial" w:hAnsi="Arial"/>
          <w:color w:val="52637A"/>
          <w:sz w:val="21"/>
          <w:szCs w:val="21"/>
        </w:rPr>
        <w:br/>
        <w:t xml:space="preserve">☐ Yes
☐ No
☐ Unresolved pending professional review</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Commission-notification decision rationale, evidence, and assumptions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Is the breach likely to result in high risk to affected data subjects?</w:t>
      </w:r>
      <w:r>
        <w:rPr>
          <w:rFonts w:ascii="Arial" w:cs="Arial" w:eastAsia="Arial" w:hAnsi="Arial"/>
          <w:color w:val="52637A"/>
          <w:sz w:val="21"/>
          <w:szCs w:val="21"/>
        </w:rPr>
        <w:br/>
        <w:t xml:space="preserve">☐ Yes
☐ No
☐ Unresolved pending professional review</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Data-subject communication decision rationale and protective actions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Decision owners, reviewers, approvals, dissent, and times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Facts or events that will trigger reassessment</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Communications and phased information</w:t>
      </w:r>
    </w:p>
    <w:p>
      <w:r>
        <w:rPr>
          <w:rFonts w:ascii="Arial" w:cs="Arial" w:eastAsia="Arial" w:hAnsi="Arial"/>
          <w:color w:val="10233E"/>
          <w:sz w:val="21"/>
          <w:szCs w:val="21"/>
        </w:rPr>
        <w:t xml:space="preserve">Prepare messages from the approved fact set. Keep drafts clearly labelled and store recipient data elsewhere. The authorized operator remains responsible for external delivery and proof of delivery.</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Commission notice preparer, approver, and delivery operator</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Unavailable notice details, owners, and expected availability</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Phased update sequence and without-undue-delay follow-up control</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Immediate data-subject communication audience, channel, language, and mitigation advice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Approved version, audience, delivery time, channel, and evidence reference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Remediation and residual risk</w:t>
      </w:r>
    </w:p>
    <w:p>
      <w:r>
        <w:rPr>
          <w:rFonts w:ascii="Arial" w:cs="Arial" w:eastAsia="Arial" w:hAnsi="Arial"/>
          <w:color w:val="10233E"/>
          <w:sz w:val="21"/>
          <w:szCs w:val="21"/>
        </w:rPr>
        <w:t xml:space="preserve">Track durable correction separately from immediate containment. Require evidence and reviewer acceptance before marking an item complete.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Remediation actions, accountable owners, dates, dependencies, and status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Remediation validation method, result, period, and evidence reference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Residual risk disposition</w:t>
      </w:r>
      <w:r>
        <w:rPr>
          <w:rFonts w:ascii="Arial" w:cs="Arial" w:eastAsia="Arial" w:hAnsi="Arial"/>
          <w:color w:val="52637A"/>
          <w:sz w:val="21"/>
          <w:szCs w:val="21"/>
        </w:rPr>
        <w:br/>
        <w:t xml:space="preserve">☐ Accepted by authorized reviewer
☐ Further treatment required
☐ Blocked and escalated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Monitoring signals, owners, duration, and escalation thresholds</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Closure and lessons</w:t>
      </w:r>
    </w:p>
    <w:p>
      <w:r>
        <w:rPr>
          <w:rFonts w:ascii="Arial" w:cs="Arial" w:eastAsia="Arial" w:hAnsi="Arial"/>
          <w:color w:val="10233E"/>
          <w:sz w:val="21"/>
          <w:szCs w:val="21"/>
        </w:rPr>
        <w:t xml:space="preserve">Confirm that decisions, communications, external evidence, open actions, and lessons are reconciled before closure. A stopped timer is not closure evidence.</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Closure readiness checks</w:t>
      </w:r>
      <w:r>
        <w:rPr>
          <w:rFonts w:ascii="Arial" w:cs="Arial" w:eastAsia="Arial" w:hAnsi="Arial"/>
          <w:color w:val="52637A"/>
          <w:sz w:val="21"/>
          <w:szCs w:val="21"/>
        </w:rPr>
        <w:br/>
        <w:t xml:space="preserve">☐ Facts reconciled
☐ Decisions approved
☐ Communications evidenced
☐ Sensitive records secured
☐ Open actions assigned
☐ Residual risk reviewed
☐ History preserved</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Incident closure decision</w:t>
      </w:r>
      <w:r>
        <w:rPr>
          <w:rFonts w:ascii="Arial" w:cs="Arial" w:eastAsia="Arial" w:hAnsi="Arial"/>
          <w:color w:val="52637A"/>
          <w:sz w:val="21"/>
          <w:szCs w:val="21"/>
        </w:rPr>
        <w:br/>
        <w:t xml:space="preserve">☐ Close
☐ Remain open
☐ Close response with tracked remediation</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What helped, what delayed work, and what must change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Next remediation or lessons review date</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keepLines/>
        <w:pBdr>
          <w:top w:val="single" w:color="D8E1EA" w:sz="4"/>
          <w:bottom w:val="single" w:color="D8E1EA" w:sz="4"/>
          <w:left w:val="single" w:color="D8E1EA" w:sz="4"/>
          <w:right w:val="single" w:color="D8E1EA" w:sz="4"/>
        </w:pBdr>
        <w:shd w:fill="FFFFFF" w:val="clear"/>
        <w:spacing w:after="180" w:before="80" w:line="288"/>
      </w:pPr>
      <w:r>
        <w:rPr>
          <w:rFonts w:ascii="Arial" w:cs="Arial" w:eastAsia="Arial" w:hAnsi="Arial"/>
          <w:b/>
          <w:bCs/>
          <w:color w:val="07172D"/>
          <w:sz w:val="21"/>
          <w:szCs w:val="21"/>
        </w:rPr>
        <w:t xml:space="preserve">Owner for entering approved records in Privora Pro</w:t>
      </w:r>
      <w:r>
        <w:rPr>
          <w:rFonts w:ascii="Arial" w:cs="Arial" w:eastAsia="Arial" w:hAnsi="Arial"/>
          <w:color w:val="52637A"/>
          <w:sz w:val="21"/>
          <w:szCs w:val="21"/>
        </w:rPr>
        <w:br/>
        <w:t xml:space="preserve">________________________________________
________________________________________
________________________________________
________________________________________</w:t>
      </w:r>
    </w:p>
    <w:p>
      <w:pPr>
        <w:pStyle w:val="Heading2"/>
        <w:pStyle w:val="Heading2"/>
      </w:pPr>
      <w:r>
        <w:rPr>
          <w:rFonts w:ascii="Arial" w:cs="Arial" w:eastAsia="Arial" w:hAnsi="Arial"/>
          <w:b/>
          <w:bCs/>
          <w:color w:val="10233E"/>
          <w:sz w:val="21"/>
          <w:szCs w:val="21"/>
        </w:rPr>
        <w:t xml:space="preserve">Transfer and sign-off</w:t>
      </w:r>
    </w:p>
    <w:p>
      <w:r>
        <w:rPr>
          <w:rFonts w:ascii="Arial" w:cs="Arial" w:eastAsia="Arial" w:hAnsi="Arial"/>
          <w:color w:val="10233E"/>
          <w:sz w:val="21"/>
          <w:szCs w:val="21"/>
        </w:rPr>
        <w:t xml:space="preserve">Before transferring the working pack, confirm the correct tenant and client, remove unnecessary personal data, resolve contradictory entries, and retain only the approved operating summary. Generated notices remain drafts until reviewed and approved. Verify external delivery separately before recording submission status or a regulator reference.</w:t>
      </w:r>
    </w:p>
    <w:p>
      <w:r>
        <w:rPr>
          <w:rFonts w:ascii="Arial" w:cs="Arial" w:eastAsia="Arial" w:hAnsi="Arial"/>
          <w:b/>
          <w:bCs/>
          <w:color w:val="0D9488"/>
          <w:sz w:val="21"/>
          <w:szCs w:val="21"/>
        </w:rPr>
        <w:t xml:space="preserve">Open the client breach register</w:t>
      </w:r>
      <w:r>
        <w:rPr>
          <w:rFonts w:ascii="Arial" w:cs="Arial" w:eastAsia="Arial" w:hAnsi="Arial"/>
          <w:color w:val="52637A"/>
          <w:sz w:val="17"/>
          <w:szCs w:val="17"/>
        </w:rPr>
        <w:t xml:space="preserve"> · Privora Pro console</w:t>
      </w:r>
    </w:p>
    <w:p>
      <w:hyperlink w:history="1" r:id="rIdpn1jxe0osh81t2pz7aall">
        <w:r>
          <w:rPr>
            <w:rFonts w:ascii="Arial" w:cs="Arial" w:eastAsia="Arial" w:hAnsi="Arial"/>
            <w:b/>
            <w:bCs/>
            <w:color w:val="0D9488"/>
            <w:sz w:val="21"/>
            <w:szCs w:val="21"/>
          </w:rPr>
          <w:t xml:space="preserve">Review response deadlines</w:t>
        </w:r>
      </w:hyperlink>
    </w:p>
    <w:p>
      <w:pPr>
        <w:pStyle w:val="PrivoraCitation"/>
      </w:pPr>
      <w:r>
        <w:rPr>
          <w:rFonts w:ascii="Arial" w:cs="Arial" w:eastAsia="Arial" w:hAnsi="Arial"/>
          <w:color w:val="52637A"/>
          <w:sz w:val="17"/>
          <w:szCs w:val="17"/>
        </w:rPr>
        <w:t xml:space="preserve">Nigeria Data Protection Act 2023 · Section 40, especially subsections (1)–(4), (8), and (9)</w:t>
      </w:r>
    </w:p>
    <w:p>
      <w:pPr>
        <w:pStyle w:val="PrivoraCitation"/>
      </w:pPr>
      <w:r>
        <w:rPr>
          <w:rFonts w:ascii="Arial" w:cs="Arial" w:eastAsia="Arial" w:hAnsi="Arial"/>
          <w:color w:val="52637A"/>
          <w:sz w:val="17"/>
          <w:szCs w:val="17"/>
        </w:rPr>
        <w:t xml:space="preserve">General Application and Implementation Directive 2025 · Article 33, especially paragraphs (1)–(5)</w:t>
      </w:r>
    </w:p>
    <w:p>
      <w:r>
        <w:rPr>
          <w:rFonts w:ascii="Arial" w:cs="Arial" w:eastAsia="Arial" w:hAnsi="Arial"/>
          <w:color w:val="10233E"/>
          <w:sz w:val="21"/>
          <w:szCs w:val="21"/>
        </w:rPr>
        <w:t xml:space="preserve">Reviewer sign-off should confirm factual sufficiency, regulatory analysis, communication authority, external delivery evidence, and safe records handling. Escalate unresolved duties or disputed facts for qualified professional review.</w:t>
      </w:r>
    </w:p>
    <w:sectPr>
      <w:headerReference w:type="default" r:id="rId7"/>
      <w:headerReference w:type="first" r:id="rId8"/>
      <w:footerReference w:type="default" r:id="rId9"/>
      <w:footerReference w:type="first" r:id="rId10"/>
      <w:pgSz w:w="11906" w:h="16838" w:orient="portrait"/>
      <w:pgMar w:top="1020" w:right="1020" w:bottom="1020" w:left="1020" w:header="709" w:footer="709"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Arial" w:cs="Arial" w:eastAsia="Arial" w:hAnsi="Arial"/>
        <w:color w:val="52637A"/>
        <w:sz w:val="16"/>
        <w:szCs w:val="16"/>
      </w:rPr>
      <w:t xml:space="preserve">Breach response workbook · 1.0.0 · Controlled operational copy · Page </w:t>
    </w:r>
    <w:r>
      <w:rPr>
        <w:rFonts w:ascii="Arial" w:cs="Arial" w:eastAsia="Arial" w:hAnsi="Arial"/>
        <w:color w:val="52637A"/>
        <w:sz w:val="16"/>
        <w:szCs w:val="16"/>
      </w:rPr>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80"/>
    </w:pPr>
    <w:r>
      <w:drawing>
        <wp:inline distT="0" distB="0" distL="0" distR="0">
          <wp:extent cx="1104900" cy="266700"/>
          <wp:effectExtent t="0" r="0" b="0" l="0"/>
          <wp:docPr id="1" name="Privora primary logo" descr="Privora primary logo" title="Privo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04900" cy="266700"/>
                  </a:xfrm>
                  <a:prstGeom prst="rect">
                    <a:avLst/>
                  </a:prstGeom>
                </pic:spPr>
              </pic:pic>
            </a:graphicData>
          </a:graphic>
        </wp:inline>
      </w:drawing>
    </w:r>
    <w:r>
      <w:rPr>
        <w:rFonts w:ascii="Arial" w:cs="Arial" w:eastAsia="Arial" w:hAnsi="Arial"/>
        <w:color w:val="52637A"/>
        <w:sz w:val="16"/>
        <w:szCs w:val="16"/>
      </w:rPr>
      <w:t xml:space="preserve">  Privacy Operations</w:t>
    </w:r>
    <w:r>
      <w:drawing>
        <wp:anchor distT="0" distB="0" distL="0" distR="0" simplePos="0" allowOverlap="1" behindDoc="1" locked="0" layoutInCell="0" relativeHeight="571500">
          <wp:simplePos x="0" y="0"/>
          <wp:positionH relativeFrom="page">
            <wp:posOffset>6600000</wp:posOffset>
          </wp:positionH>
          <wp:positionV relativeFrom="page">
            <wp:posOffset>0</wp:posOffset>
          </wp:positionV>
          <wp:extent cx="571500" cy="571500"/>
          <wp:effectExtent t="0" r="0" b="0" l="0"/>
          <wp:wrapNone/>
          <wp:docPr id="1" name="Privora symbol watermark" descr="Privora symbol watermark" title="Privora symb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extLst>
                      <a:ext uri="{96DAC541-7B7A-43D3-8B79-37D633B846F1}">
                        <asvg:svgBlip xmlns:asvg="http://schemas.microsoft.com/office/drawing/2016/SVG/main" r:embed="rId1"/>
                      </a:ext>
                    </a:extLst>
                  </a:blip>
                  <a:srcRect/>
                  <a:stretch>
                    <a:fillRect/>
                  </a:stretch>
                </pic:blipFill>
                <pic:spPr bwMode="auto">
                  <a:xfrm>
                    <a:off x="0" y="0"/>
                    <a:ext cx="571500" cy="5715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spacing w:after="80" w:line="288"/>
        <w:ind w:left="539" w:hanging="270"/>
      </w:pPr>
      <w:rPr>
        <w:rFonts w:ascii="Arial" w:cs="Arial" w:eastAsia="Arial" w:hAnsi="Arial"/>
        <w:color w:val="10233E"/>
        <w:sz w:val="21"/>
        <w:szCs w:val="21"/>
      </w:rPr>
    </w:lvl>
  </w:abstractNum>
  <w:abstractNum w:abstractNumId="3" w15:restartNumberingAfterBreak="0">
    <w:multiLevelType w:val="hybridMultilevel"/>
    <w:lvl w:ilvl="0" w15:tentative="1">
      <w:start w:val="1"/>
      <w:numFmt w:val="decimal"/>
      <w:lvlText w:val="%1."/>
      <w:lvlJc w:val="left"/>
      <w:pPr>
        <w:spacing w:after="80" w:line="288"/>
        <w:ind w:left="539" w:hanging="270"/>
      </w:pPr>
      <w:rPr>
        <w:rFonts w:ascii="Arial" w:cs="Arial" w:eastAsia="Arial" w:hAnsi="Arial"/>
        <w:color w:val="10233E"/>
        <w:sz w:val="21"/>
        <w:szCs w:val="2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233E"/>
        <w:sz w:val="21"/>
        <w:szCs w:val="21"/>
      </w:rPr>
    </w:rPrDefault>
    <w:pPrDefault>
      <w:pPr>
        <w:spacing w:after="100" w:line="288"/>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PrivoraTitle">
    <w:name w:val="Privora Title"/>
    <w:basedOn w:val="Normal"/>
    <w:next w:val="Normal"/>
    <w:qFormat/>
    <w:pPr>
      <w:spacing w:after="240" w:before="0" w:line="252"/>
    </w:pPr>
    <w:rPr>
      <w:rFonts w:ascii="Arial" w:cs="Arial" w:eastAsia="Arial" w:hAnsi="Arial"/>
      <w:b/>
      <w:bCs/>
      <w:color w:val="07172D"/>
      <w:sz w:val="56"/>
      <w:szCs w:val="56"/>
    </w:rPr>
  </w:style>
  <w:style w:type="paragraph" w:styleId="Heading1">
    <w:name w:val="Heading 1"/>
    <w:basedOn w:val="Normal"/>
    <w:next w:val="Normal"/>
    <w:qFormat/>
    <w:pPr>
      <w:keepNext/>
      <w:spacing w:after="200" w:before="360"/>
      <w:outlineLvl w:val="0"/>
    </w:pPr>
    <w:rPr>
      <w:rFonts w:ascii="Arial" w:cs="Arial" w:eastAsia="Arial" w:hAnsi="Arial"/>
      <w:b/>
      <w:bCs/>
      <w:color w:val="07172D"/>
      <w:sz w:val="34"/>
      <w:szCs w:val="34"/>
    </w:rPr>
  </w:style>
  <w:style w:type="paragraph" w:styleId="Heading2">
    <w:name w:val="Heading 2"/>
    <w:basedOn w:val="Normal"/>
    <w:next w:val="Normal"/>
    <w:qFormat/>
    <w:pPr>
      <w:keepNext/>
      <w:spacing w:after="140" w:before="280"/>
      <w:outlineLvl w:val="1"/>
    </w:pPr>
    <w:rPr>
      <w:rFonts w:ascii="Arial" w:cs="Arial" w:eastAsia="Arial" w:hAnsi="Arial"/>
      <w:b/>
      <w:bCs/>
      <w:color w:val="0D9488"/>
      <w:sz w:val="27"/>
      <w:szCs w:val="27"/>
    </w:rPr>
  </w:style>
  <w:style w:type="paragraph" w:styleId="Heading3">
    <w:name w:val="Heading 3"/>
    <w:basedOn w:val="Normal"/>
    <w:next w:val="Normal"/>
    <w:qFormat/>
    <w:pPr>
      <w:keepNext/>
      <w:spacing w:after="100" w:before="200"/>
      <w:outlineLvl w:val="2"/>
    </w:pPr>
    <w:rPr>
      <w:rFonts w:ascii="Arial" w:cs="Arial" w:eastAsia="Arial" w:hAnsi="Arial"/>
      <w:b/>
      <w:bCs/>
      <w:color w:val="07172D"/>
      <w:sz w:val="23"/>
      <w:szCs w:val="23"/>
    </w:rPr>
  </w:style>
  <w:style w:type="paragraph" w:styleId="PrivoraCitation">
    <w:name w:val="Privora Citation"/>
    <w:basedOn w:val="Normal"/>
    <w:next w:val="Normal"/>
    <w:pPr>
      <w:spacing w:after="80" w:before="80" w:line="240"/>
    </w:pPr>
    <w:rPr>
      <w:rFonts w:ascii="Arial" w:cs="Arial" w:eastAsia="Arial" w:hAnsi="Arial"/>
      <w:color w:val="52637A"/>
      <w:sz w:val="17"/>
      <w:szCs w:val="17"/>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 Id="rIdpn1jxe0osh81t2pz7aall" Type="http://schemas.openxmlformats.org/officeDocument/2006/relationships/hyperlink" Target="https://app.privora.ng/console/calendar" TargetMode="External"/><Relationship Id="rId11" Type="http://schemas.openxmlformats.org/officeDocument/2006/relationships/image" Target="media/90ebae7109c1dbf76215321e86b06f105a1e3eeb.png"/><Relationship Id="rId12" Type="http://schemas.openxmlformats.org/officeDocument/2006/relationships/image" Target="media/000fa8e88bf958aeb02e750d27fc9e3329403bc1.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afca99ab5ae36866c8214798554c5fd71b2e798.png"/><Relationship Id="rId1" Type="http://schemas.openxmlformats.org/officeDocument/2006/relationships/image" Target="media/df6e31e2e1e3032ca7cc350afdf5e5560174bf71.svg"/><Relationship Id="rId2" Type="http://schemas.openxmlformats.org/officeDocument/2006/relationships/image" Target="media/fdf1a3d73c1982b2c7e7c9ceae535a1ae5459330.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Prepare and record an accountable personal data breach response</dc:title>
  <dc:subject>Prepare owners, timelines, evidence references, risk decisions, communications, remediation, and closure without copying sensitive payloads.</dc:subject>
  <dc:creator>Privora</dc:creator>
  <cp:keywords>Privacy Operations, Privora Pro</cp:keywords>
  <dc:description>Prepare owners, timelines, evidence references, risk decisions, communications, remediation, and closure without copying sensitive payloads.</dc:description>
  <cp:lastModifiedBy>Privora</cp:lastModifiedBy>
  <cp:revision>1</cp:revision>
  <dcterms:created xsi:type="dcterms:W3CDTF">2026-08-12T00:00:00.000Z</dcterms:created>
  <dcterms:modified xsi:type="dcterms:W3CDTF">2026-08-12T00:00:00.000Z</dcterms:modified>
</cp:coreProperties>
</file>

<file path=docProps/custom.xml><?xml version="1.0" encoding="utf-8"?>
<Properties xmlns="http://schemas.openxmlformats.org/officeDocument/2006/custom-properties" xmlns:vt="http://schemas.openxmlformats.org/officeDocument/2006/docPropsVTypes"/>
</file>