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C89B3C"/>
          <w:sz w:val="18"/>
          <w:szCs w:val="18"/>
        </w:rPr>
        <w:t xml:space="preserve">PRIVACY OPERATIONS · PRIVORA PRO · WORKBOOK</w:t>
      </w:r>
    </w:p>
    <w:p>
      <w:pPr>
        <w:pStyle w:val="PrivoraTitle"/>
      </w:pPr>
      <w:r>
        <w:rPr>
          <w:rFonts w:ascii="Arial" w:cs="Arial" w:eastAsia="Arial" w:hAnsi="Arial"/>
          <w:b/>
          <w:bCs/>
          <w:color w:val="FFFFFF"/>
          <w:sz w:val="56"/>
          <w:szCs w:val="56"/>
        </w:rPr>
        <w:t xml:space="preserve">Client operating baseline workbook</w:t>
      </w:r>
    </w:p>
    <w:p>
      <w:pPr>
        <w:spacing w:after="220"/>
      </w:pPr>
      <w:r>
        <w:rPr>
          <w:rFonts w:ascii="Arial" w:cs="Arial" w:eastAsia="Arial" w:hAnsi="Arial"/>
          <w:color w:val="D8E1EA"/>
          <w:sz w:val="22"/>
          <w:szCs w:val="22"/>
        </w:rPr>
        <w:t xml:space="preserve">Prepare a compact reviewed baseline that can be entered into the correct Privora Pro client workflow.</w:t>
      </w:r>
    </w:p>
    <w:p>
      <w:pPr>
        <w:pBdr>
          <w:left w:val="single" w:color="C89B3C" w:sz="18"/>
        </w:pBdr>
        <w:spacing w:after="80" w:before="260" w:line="288"/>
      </w:pPr>
      <w:r>
        <w:rPr>
          <w:rFonts w:ascii="Arial" w:cs="Arial" w:eastAsia="Arial" w:hAnsi="Arial"/>
          <w:b/>
          <w:bCs/>
          <w:color w:val="C89B3C"/>
          <w:sz w:val="16"/>
          <w:szCs w:val="16"/>
        </w:rPr>
        <w:t xml:space="preserve">Primary action</w:t>
      </w:r>
      <w:r>
        <w:rPr>
          <w:rFonts w:ascii="Arial" w:cs="Arial" w:eastAsia="Arial" w:hAnsi="Arial"/>
          <w:b/>
          <w:bCs/>
          <w:color w:val="FFFFFF"/>
          <w:sz w:val="21"/>
          <w:szCs w:val="21"/>
        </w:rPr>
        <w:br/>
        <w:t xml:space="preserve">Complete the working pages, then enter approved records in Privora Pro.</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https://docs.privora.ng/pro/operating-library/client-onboarding</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Client operating baseline workbook</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https://docs.privora.ng/pro/operating-library/client-onboarding</w:t>
      </w:r>
    </w:p>
    <w:p>
      <w:pPr>
        <w:keepNext/>
        <w:spacing w:after="40" w:before="80"/>
      </w:pPr>
      <w:r>
        <w:rPr>
          <w:rFonts w:ascii="Arial" w:cs="Arial" w:eastAsia="Arial" w:hAnsi="Arial"/>
          <w:b/>
          <w:bCs/>
          <w:color w:val="C89B3C"/>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C89B3C"/>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C89B3C"/>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C89B3C"/>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C89B3C"/>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C89B3C"/>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C89B3C"/>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C89B3C"/>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Client operating baseline workbook</w:t>
      </w:r>
    </w:p>
    <w:p>
      <w:r>
        <w:rPr>
          <w:rFonts w:ascii="Arial" w:cs="Arial" w:eastAsia="Arial" w:hAnsi="Arial"/>
          <w:color w:val="10233E"/>
          <w:sz w:val="21"/>
          <w:szCs w:val="21"/>
        </w:rPr>
        <w:t xml:space="preserve">Use these working pages before and during client onboarding. Complete only the fields needed for the engagement, review the answers with the accountable people, then enter approved records in Privora Pro. This workbook is a preparation aid, not a parallel system of record and not evidence that the client is compliant.</w:t>
      </w:r>
    </w:p>
    <w:p>
      <w:pPr>
        <w:shd w:fill="FBF4E5" w:val="clear"/>
      </w:pPr>
      <w:r>
        <w:rPr>
          <w:rFonts w:ascii="Arial" w:cs="Arial" w:eastAsia="Arial" w:hAnsi="Arial"/>
          <w:b/>
          <w:bCs/>
          <w:color w:val="07172D"/>
          <w:sz w:val="21"/>
          <w:szCs w:val="21"/>
        </w:rPr>
        <w:t xml:space="preserve">Operational guidance — not legal advice. This guide does not guarantee compliance.</w:t>
      </w:r>
    </w:p>
    <w:p>
      <w:r>
        <w:rPr>
          <w:rFonts w:ascii="Arial" w:cs="Arial" w:eastAsia="Arial" w:hAnsi="Arial"/>
          <w:color w:val="10233E"/>
          <w:sz w:val="21"/>
          <w:szCs w:val="21"/>
        </w:rPr>
        <w:t xml:space="preserve">Keep the blank template appropriately confidential. Do not record passwords, authentication material, complete identity files, raw special-category datasets, or live incident details here. Use safe references and approved systems for sensitive operational records.</w:t>
      </w:r>
    </w:p>
    <w:p>
      <w:pPr>
        <w:pStyle w:val="Heading2"/>
        <w:pStyle w:val="Heading2"/>
      </w:pPr>
      <w:r>
        <w:rPr>
          <w:rFonts w:ascii="Arial" w:cs="Arial" w:eastAsia="Arial" w:hAnsi="Arial"/>
          <w:b/>
          <w:bCs/>
          <w:color w:val="10233E"/>
          <w:sz w:val="21"/>
          <w:szCs w:val="21"/>
        </w:rPr>
        <w:t xml:space="preserve">Engagement charter</w:t>
      </w:r>
    </w:p>
    <w:p>
      <w:r>
        <w:rPr>
          <w:rFonts w:ascii="Arial" w:cs="Arial" w:eastAsia="Arial" w:hAnsi="Arial"/>
          <w:color w:val="10233E"/>
          <w:sz w:val="21"/>
          <w:szCs w:val="21"/>
        </w:rPr>
        <w:t xml:space="preserve">Define the engagement in operational terms. Name the client boundary, sponsor, delivery owner, intended improvement, and first review. Avoid broad promises. The charter should be short enough to read aloud at kickoff and specific enough to guide the first month.</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Client or business-unit name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Legal entity, business unit, or operating boundary covered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Accountable client sponsor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Privora delivery owner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Operating improvement expected from onboarding</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First operating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First workflow definition</w:t>
      </w:r>
    </w:p>
    <w:p>
      <w:r>
        <w:rPr>
          <w:rFonts w:ascii="Arial" w:cs="Arial" w:eastAsia="Arial" w:hAnsi="Arial"/>
          <w:color w:val="10233E"/>
          <w:sz w:val="21"/>
          <w:szCs w:val="21"/>
        </w:rPr>
        <w:t xml:space="preserve">Choose one real workflow that will make ownership and evidence visible. Define where it begins, what approved output ends the first cycle, and what is explicitly excluded.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First workflow name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Current workflow problem to improve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Entry condition and required inputs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Completion condition and approved output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Excluded or deferred work</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Role and RACI map</w:t>
      </w:r>
    </w:p>
    <w:p>
      <w:r>
        <w:rPr>
          <w:rFonts w:ascii="Arial" w:cs="Arial" w:eastAsia="Arial" w:hAnsi="Arial"/>
          <w:color w:val="10233E"/>
          <w:sz w:val="21"/>
          <w:szCs w:val="21"/>
        </w:rPr>
        <w:t xml:space="preserve">Record who prepares, reviews, decides, contributes, and remains informed. If one person holds several roles, keep the responsibilities distinct. Portal participation never creates approval authority.</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973"/>
        <w:gridCol w:w="1973"/>
        <w:gridCol w:w="1973"/>
        <w:gridCol w:w="1973"/>
        <w:gridCol w:w="1974"/>
      </w:tblGrid>
      <w:tr>
        <w:trPr>
          <w:cantSplit/>
          <w:tblHeader/>
        </w:trPr>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Work item</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Responsible</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Accountable</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Consulted</w:t>
            </w:r>
          </w:p>
        </w:tc>
        <w:tc>
          <w:tcPr>
            <w:tcW w:type="dxa" w:w="197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Informed</w:t>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Scope confirmation</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Evidence baseline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First deliverable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Person authorized to approve scope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Accountable evidence reviewer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Escalation owner for unresolved decisions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Access checklist</w:t>
      </w:r>
    </w:p>
    <w:p>
      <w:r>
        <w:rPr>
          <w:rFonts w:ascii="Arial" w:cs="Arial" w:eastAsia="Arial" w:hAnsi="Arial"/>
          <w:color w:val="10233E"/>
          <w:sz w:val="21"/>
          <w:szCs w:val="21"/>
        </w:rPr>
        <w:t xml:space="preserve">Prepare access decisions only after confirming the organization, client, person, role, and business need. An authorized Owner or Admin applies Team changes. Portal users must remain within the intended client boundary.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Correct Privora organization confirmed</w:t>
      </w:r>
      <w:r>
        <w:rPr>
          <w:rFonts w:ascii="Arial" w:cs="Arial" w:eastAsia="Arial" w:hAnsi="Arial"/>
          <w:color w:val="52637A"/>
          <w:sz w:val="21"/>
          <w:szCs w:val="21"/>
        </w:rPr>
        <w:br/>
        <w:t xml:space="preserve">☐ Confirmed
☐ Not confirmed
☐ Escalate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Correct client boundary confirmed</w:t>
      </w:r>
      <w:r>
        <w:rPr>
          <w:rFonts w:ascii="Arial" w:cs="Arial" w:eastAsia="Arial" w:hAnsi="Arial"/>
          <w:color w:val="52637A"/>
          <w:sz w:val="21"/>
          <w:szCs w:val="21"/>
        </w:rPr>
        <w:br/>
        <w:t xml:space="preserve">☐ Confirmed
☐ Not confirmed
☐ Escalate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Team access actions</w:t>
      </w:r>
      <w:r>
        <w:rPr>
          <w:rFonts w:ascii="Arial" w:cs="Arial" w:eastAsia="Arial" w:hAnsi="Arial"/>
          <w:color w:val="52637A"/>
          <w:sz w:val="21"/>
          <w:szCs w:val="21"/>
        </w:rPr>
        <w:br/>
        <w:t xml:space="preserve">☐ Invite approved member
☐ Change role
☐ Remove access
☐ No change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Client portal access actions</w:t>
      </w:r>
      <w:r>
        <w:rPr>
          <w:rFonts w:ascii="Arial" w:cs="Arial" w:eastAsia="Arial" w:hAnsi="Arial"/>
          <w:color w:val="52637A"/>
          <w:sz w:val="21"/>
          <w:szCs w:val="21"/>
        </w:rPr>
        <w:br/>
        <w:t xml:space="preserve">☐ Enable portal
☐ Invite contributor
☐ Change portal role
☐ Remove portal access
☐ No portal access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Owner for later access removal or review</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Next/>
        <w:shd w:fill="FBF4E5" w:val="clear"/>
      </w:pPr>
      <w:r>
        <w:rPr>
          <w:rFonts w:ascii="Arial" w:cs="Arial" w:eastAsia="Arial" w:hAnsi="Arial"/>
          <w:b/>
          <w:bCs/>
          <w:color w:val="07172D"/>
          <w:sz w:val="21"/>
          <w:szCs w:val="21"/>
        </w:rPr>
        <w:t xml:space="preserve">Keep sensitive records in approved systems</w:t>
      </w:r>
    </w:p>
    <w:p>
      <w:r>
        <w:rPr>
          <w:rFonts w:ascii="Arial" w:cs="Arial" w:eastAsia="Arial" w:hAnsi="Arial"/>
          <w:color w:val="10233E"/>
          <w:sz w:val="21"/>
          <w:szCs w:val="21"/>
        </w:rPr>
        <w:t xml:space="preserve">Use this page to record access decisions, not credentials. Do not paste invitation tokens, passwords, identity documents, or confidential client datasets into the workbook.</w:t>
      </w:r>
    </w:p>
    <w:p>
      <w:pPr>
        <w:pStyle w:val="Heading2"/>
        <w:pStyle w:val="Heading2"/>
      </w:pPr>
      <w:r>
        <w:rPr>
          <w:rFonts w:ascii="Arial" w:cs="Arial" w:eastAsia="Arial" w:hAnsi="Arial"/>
          <w:b/>
          <w:bCs/>
          <w:color w:val="10233E"/>
          <w:sz w:val="21"/>
          <w:szCs w:val="21"/>
        </w:rPr>
        <w:t xml:space="preserve">Evidence baseline</w:t>
      </w:r>
    </w:p>
    <w:p>
      <w:r>
        <w:rPr>
          <w:rFonts w:ascii="Arial" w:cs="Arial" w:eastAsia="Arial" w:hAnsi="Arial"/>
          <w:color w:val="10233E"/>
          <w:sz w:val="21"/>
          <w:szCs w:val="21"/>
        </w:rPr>
        <w:t xml:space="preserve">List what evidence is expected to demonstrate, not only its file name. Use safe descriptions. Enter the approved document, version, review, and requirement links in Privora Pro Documents.</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644"/>
        <w:gridCol w:w="1644"/>
        <w:gridCol w:w="1644"/>
        <w:gridCol w:w="1644"/>
        <w:gridCol w:w="1644"/>
        <w:gridCol w:w="1646"/>
      </w:tblGrid>
      <w:tr>
        <w:trPr>
          <w:cantSplit/>
          <w:tblHeader/>
        </w:trPr>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Evidence purpose</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Period</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Current location</w:t>
            </w:r>
          </w:p>
        </w:tc>
        <w:tc>
          <w:tcPr>
            <w:tcW w:type="dxa" w:w="164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Review state</w:t>
            </w:r>
          </w:p>
        </w:tc>
        <w:tc>
          <w:tcPr>
            <w:tcW w:type="dxa" w:w="1646"/>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Next action</w:t>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646"/>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Evidence categories needed for the first workflow</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Baseline states present</w:t>
      </w:r>
      <w:r>
        <w:rPr>
          <w:rFonts w:ascii="Arial" w:cs="Arial" w:eastAsia="Arial" w:hAnsi="Arial"/>
          <w:color w:val="52637A"/>
          <w:sz w:val="21"/>
          <w:szCs w:val="21"/>
        </w:rPr>
        <w:br/>
        <w:t xml:space="preserve">☐ Current and reviewed
☐ Available but unreviewed
☐ Outdated
☐ Missing
☐ Inaccessible
☐ Outside scope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Owner for entering approved evidence records in Pro</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Priority gaps</w:t>
      </w:r>
    </w:p>
    <w:p>
      <w:r>
        <w:rPr>
          <w:rFonts w:ascii="Arial" w:cs="Arial" w:eastAsia="Arial" w:hAnsi="Arial"/>
          <w:color w:val="10233E"/>
          <w:sz w:val="21"/>
          <w:szCs w:val="21"/>
        </w:rPr>
        <w:t xml:space="preserve">Prioritize gaps by the decision or deliverable they block. Distinguish absent evidence from evidence awaiting review. Give every priority gap an owner and a next review date.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Highest-priority gap and blocked outcome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Accountable owner for the next action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Gap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Escalation required</w:t>
      </w:r>
      <w:r>
        <w:rPr>
          <w:rFonts w:ascii="Arial" w:cs="Arial" w:eastAsia="Arial" w:hAnsi="Arial"/>
          <w:color w:val="52637A"/>
          <w:sz w:val="21"/>
          <w:szCs w:val="21"/>
        </w:rPr>
        <w:br/>
        <w:t xml:space="preserve">☐ No
☐ Sponsor
☐ DPO or privacy lead
☐ Owner or Admin
☐ Qualified specialist</w:t>
      </w:r>
    </w:p>
    <w:p>
      <w:pPr>
        <w:pStyle w:val="Heading2"/>
        <w:pStyle w:val="Heading2"/>
      </w:pPr>
      <w:r>
        <w:rPr>
          <w:rFonts w:ascii="Arial" w:cs="Arial" w:eastAsia="Arial" w:hAnsi="Arial"/>
          <w:b/>
          <w:bCs/>
          <w:color w:val="10233E"/>
          <w:sz w:val="21"/>
          <w:szCs w:val="21"/>
        </w:rPr>
        <w:t xml:space="preserve">Deadline register</w:t>
      </w:r>
    </w:p>
    <w:p>
      <w:r>
        <w:rPr>
          <w:rFonts w:ascii="Arial" w:cs="Arial" w:eastAsia="Arial" w:hAnsi="Arial"/>
          <w:color w:val="10233E"/>
          <w:sz w:val="21"/>
          <w:szCs w:val="21"/>
        </w:rPr>
        <w:t xml:space="preserve">Record operational dates and their source. Where a date depends on legal or regulatory interpretation, obtain qualified review before treating it as authoritative.</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973"/>
        <w:gridCol w:w="1973"/>
        <w:gridCol w:w="1973"/>
        <w:gridCol w:w="1973"/>
        <w:gridCol w:w="1974"/>
      </w:tblGrid>
      <w:tr>
        <w:trPr>
          <w:cantSplit/>
          <w:tblHeader/>
        </w:trPr>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Date</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Event or decision</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Source</w:t>
            </w:r>
          </w:p>
        </w:tc>
        <w:tc>
          <w:tcPr>
            <w:tcW w:type="dxa" w:w="197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Reminder or escalation</w:t>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First contributor due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First deliverable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Owner for entering approved dates in Calendar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First deliverable</w:t>
      </w:r>
    </w:p>
    <w:p>
      <w:r>
        <w:rPr>
          <w:rFonts w:ascii="Arial" w:cs="Arial" w:eastAsia="Arial" w:hAnsi="Arial"/>
          <w:color w:val="10233E"/>
          <w:sz w:val="21"/>
          <w:szCs w:val="21"/>
        </w:rPr>
        <w:t xml:space="preserve">Define the first client-facing output. A generated or drafted item remains subject to review and approval.</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Deliverable title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Audience, purpose, and decision supported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Reviewed evidence and decisions required</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Approval route</w:t>
      </w:r>
      <w:r>
        <w:rPr>
          <w:rFonts w:ascii="Arial" w:cs="Arial" w:eastAsia="Arial" w:hAnsi="Arial"/>
          <w:color w:val="52637A"/>
          <w:sz w:val="21"/>
          <w:szCs w:val="21"/>
        </w:rPr>
        <w:br/>
        <w:t xml:space="preserve">☐ Sponsor approval
☐ DPO approval
☐ Engagement-lead approval
☐ Specialist review required</w:t>
      </w:r>
    </w:p>
    <w:p>
      <w:pPr>
        <w:pStyle w:val="Heading2"/>
        <w:pStyle w:val="Heading2"/>
      </w:pPr>
      <w:r>
        <w:rPr>
          <w:rFonts w:ascii="Arial" w:cs="Arial" w:eastAsia="Arial" w:hAnsi="Arial"/>
          <w:b/>
          <w:bCs/>
          <w:color w:val="10233E"/>
          <w:sz w:val="21"/>
          <w:szCs w:val="21"/>
        </w:rPr>
        <w:t xml:space="preserve">Kickoff agenda and decision</w:t>
      </w:r>
    </w:p>
    <w:p>
      <w:r>
        <w:rPr>
          <w:rFonts w:ascii="Arial" w:cs="Arial" w:eastAsia="Arial" w:hAnsi="Arial"/>
          <w:color w:val="10233E"/>
          <w:sz w:val="21"/>
          <w:szCs w:val="21"/>
        </w:rPr>
        <w:t xml:space="preserve">Use the agenda to confirm scope, roles, access, evidence, gaps, dates, deliverable, and the next review. Record material decisions explicitly; silence is not approval.</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Kickoff agenda</w:t>
      </w:r>
      <w:r>
        <w:rPr>
          <w:rFonts w:ascii="Arial" w:cs="Arial" w:eastAsia="Arial" w:hAnsi="Arial"/>
          <w:color w:val="52637A"/>
          <w:sz w:val="21"/>
          <w:szCs w:val="21"/>
        </w:rPr>
        <w:br/>
        <w:t xml:space="preserve">☐ Scope
☐ First workflow
☐ Roles
☐ Access
☐ Evidence baseline
☐ Priority gaps
☐ Deadlines
☐ First deliverable
☐ Escalations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Kickoff decision</w:t>
      </w:r>
      <w:r>
        <w:rPr>
          <w:rFonts w:ascii="Arial" w:cs="Arial" w:eastAsia="Arial" w:hAnsi="Arial"/>
          <w:color w:val="52637A"/>
          <w:sz w:val="21"/>
          <w:szCs w:val="21"/>
        </w:rPr>
        <w:br/>
        <w:t xml:space="preserve">☐ Approved
☐ Approved with conditions
☐ Returned for clarification
☐ Deferred to named authority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Conditions, clarification, or deferred decision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30-day plan</w:t>
      </w:r>
    </w:p>
    <w:p>
      <w:r>
        <w:rPr>
          <w:rFonts w:ascii="Arial" w:cs="Arial" w:eastAsia="Arial" w:hAnsi="Arial"/>
          <w:color w:val="10233E"/>
          <w:sz w:val="21"/>
          <w:szCs w:val="21"/>
        </w:rPr>
        <w:t xml:space="preserve">Plan a realistic first cycle. Adjust the timing when client complexity, evidence quality, urgent work, or professional review requires a different sequence.</w:t>
      </w:r>
    </w:p>
    <w:tbl>
      <w:tblPr>
        <w:tblW w:type="dxa" w:w="9866"/>
        <w:tblInd w:type="dxa" w:w="120"/>
        <w:tblBorders>
          <w:top w:val="single" w:color="D8E1EA" w:sz="4"/>
          <w:left w:val="single" w:color="D8E1EA" w:sz="4"/>
          <w:bottom w:val="single" w:color="D8E1EA" w:sz="4"/>
          <w:right w:val="single" w:color="D8E1EA" w:sz="4"/>
          <w:insideH w:val="single" w:color="D8E1EA" w:sz="4"/>
          <w:insideV w:val="single" w:color="D8E1EA" w:sz="4"/>
        </w:tblBorders>
        <w:tblLayout w:type="fixed"/>
        <w:tblCellMar>
          <w:top w:type="dxa" w:w="90"/>
          <w:left w:type="dxa" w:w="120"/>
          <w:bottom w:type="dxa" w:w="90"/>
          <w:right w:type="dxa" w:w="120"/>
        </w:tblCellMar>
      </w:tblPr>
      <w:tblGrid>
        <w:gridCol w:w="1973"/>
        <w:gridCol w:w="1973"/>
        <w:gridCol w:w="1973"/>
        <w:gridCol w:w="1973"/>
        <w:gridCol w:w="1974"/>
      </w:tblGrid>
      <w:tr>
        <w:trPr>
          <w:cantSplit/>
          <w:tblHeader/>
        </w:trPr>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Period</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Operating focus</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Owner</w:t>
            </w:r>
          </w:p>
        </w:tc>
        <w:tc>
          <w:tcPr>
            <w:tcW w:type="dxa" w:w="1973"/>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Expected output</w:t>
            </w:r>
          </w:p>
        </w:tc>
        <w:tc>
          <w:tcPr>
            <w:tcW w:type="dxa" w:w="1974"/>
            <w:shd w:fill="E9F7F5" w:val="clear"/>
            <w:tcMar>
              <w:top w:type="dxa" w:w="90"/>
              <w:left w:type="dxa" w:w="120"/>
              <w:bottom w:type="dxa" w:w="90"/>
              <w:right w:type="dxa" w:w="120"/>
            </w:tcMar>
            <w:vAlign w:val="center"/>
          </w:tcPr>
          <w:p>
            <w:r>
              <w:rPr>
                <w:rFonts w:ascii="Arial" w:cs="Arial" w:eastAsia="Arial" w:hAnsi="Arial"/>
                <w:b/>
                <w:bCs/>
                <w:color w:val="07172D"/>
                <w:sz w:val="21"/>
                <w:szCs w:val="21"/>
              </w:rPr>
              <w:t xml:space="preserve">Review point</w:t>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Days 1–7</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Confirm baseline and requests</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Days 8–14</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Review evidence and gaps</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Days 15–21</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Prepare first deliverable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r>
        <w:trPr>
          <w:cantSplit w:val="false"/>
        </w:trPr>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Days 22–30</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Review and set next cycle</w:t>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3"/>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c>
          <w:tcPr>
            <w:tcW w:type="dxa" w:w="1974"/>
            <w:tcMar>
              <w:top w:type="dxa" w:w="90"/>
              <w:left w:type="dxa" w:w="120"/>
              <w:bottom w:type="dxa" w:w="90"/>
              <w:right w:type="dxa" w:w="120"/>
            </w:tcMar>
            <w:vAlign w:val="center"/>
          </w:tcPr>
          <w:p>
            <w:r>
              <w:rPr>
                <w:rFonts w:ascii="Arial" w:cs="Arial" w:eastAsia="Arial" w:hAnsi="Arial"/>
                <w:b w:val="false"/>
                <w:bCs w:val="false"/>
                <w:color w:val="10233E"/>
                <w:sz w:val="21"/>
                <w:szCs w:val="21"/>
              </w:rPr>
              <w:t xml:space="preserve"/>
            </w:r>
          </w:p>
        </w:tc>
      </w:tr>
    </w:tbl>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Days 1–7 commitments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End-of-cycle operating review</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Completion review</w:t>
      </w:r>
    </w:p>
    <w:p>
      <w:r>
        <w:rPr>
          <w:rFonts w:ascii="Arial" w:cs="Arial" w:eastAsia="Arial" w:hAnsi="Arial"/>
          <w:color w:val="10233E"/>
          <w:sz w:val="21"/>
          <w:szCs w:val="21"/>
        </w:rPr>
        <w:t xml:space="preserve">Complete the onboarding cycle only when the operating record is usable. Open gaps are acceptable when their authority, owner, next action, and date are visible.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Completion checks</w:t>
      </w:r>
      <w:r>
        <w:rPr>
          <w:rFonts w:ascii="Arial" w:cs="Arial" w:eastAsia="Arial" w:hAnsi="Arial"/>
          <w:color w:val="52637A"/>
          <w:sz w:val="21"/>
          <w:szCs w:val="21"/>
        </w:rPr>
        <w:br/>
        <w:t xml:space="preserve">☐ Client boundary confirmed
☐ Scope approved
☐ Roles named
☐ Least-privilege access reviewed
☐ Evidence baseline recorded
☐ Priority gaps owned
☐ Dates loaded
☐ Deliverable defined
☐ Review scheduled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Baseline completion decision</w:t>
      </w:r>
      <w:r>
        <w:rPr>
          <w:rFonts w:ascii="Arial" w:cs="Arial" w:eastAsia="Arial" w:hAnsi="Arial"/>
          <w:color w:val="52637A"/>
          <w:sz w:val="21"/>
          <w:szCs w:val="21"/>
        </w:rPr>
        <w:br/>
        <w:t xml:space="preserve">☐ Complete
☐ Complete with tracked exceptions
☐ Not complete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Person who will enter approved records in Privora Pro</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r>
        <w:rPr>
          <w:rFonts w:ascii="Arial" w:cs="Arial" w:eastAsia="Arial" w:hAnsi="Arial"/>
          <w:b/>
          <w:bCs/>
          <w:color w:val="0D9488"/>
          <w:sz w:val="21"/>
          <w:szCs w:val="21"/>
        </w:rPr>
        <w:t xml:space="preserve">Open the client record</w:t>
      </w:r>
      <w:r>
        <w:rPr>
          <w:rFonts w:ascii="Arial" w:cs="Arial" w:eastAsia="Arial" w:hAnsi="Arial"/>
          <w:color w:val="52637A"/>
          <w:sz w:val="17"/>
          <w:szCs w:val="17"/>
        </w:rPr>
        <w:t xml:space="preserve"> · Privora Pro console</w:t>
      </w:r>
    </w:p>
    <w:p>
      <w:pPr>
        <w:pStyle w:val="Heading2"/>
        <w:pStyle w:val="Heading2"/>
      </w:pPr>
      <w:r>
        <w:rPr>
          <w:rFonts w:ascii="Arial" w:cs="Arial" w:eastAsia="Arial" w:hAnsi="Arial"/>
          <w:b/>
          <w:bCs/>
          <w:color w:val="10233E"/>
          <w:sz w:val="21"/>
          <w:szCs w:val="21"/>
        </w:rPr>
        <w:t xml:space="preserve">Lessons for the next cycle</w:t>
      </w:r>
    </w:p>
    <w:p>
      <w:r>
        <w:rPr>
          <w:rFonts w:ascii="Arial" w:cs="Arial" w:eastAsia="Arial" w:hAnsi="Arial"/>
          <w:color w:val="10233E"/>
          <w:sz w:val="21"/>
          <w:szCs w:val="21"/>
        </w:rPr>
        <w:t xml:space="preserve">Capture only lessons that can improve the next workflow: which request was unclear, where authority was missing, what access was broader than needed, what evidence context was absent, and which review reduced rework.</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Practice to keep</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Practice to change in the next cycle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Owner for the improvement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Sources and operating-record handoff</w:t>
      </w:r>
    </w:p>
    <w:p>
      <w:r>
        <w:rPr>
          <w:rFonts w:ascii="Arial" w:cs="Arial" w:eastAsia="Arial" w:hAnsi="Arial"/>
          <w:color w:val="10233E"/>
          <w:sz w:val="21"/>
          <w:szCs w:val="21"/>
        </w:rPr>
        <w:t xml:space="preserve">The workbook follows the current implemented Privora Pro routes and the canonical Privora Privacy Operations positioning, reviewed 2026-08-12. It makes no statutory deadline claim. Apply current client agreements, internal policy, verified regulatory sources, and qualified professional judgment to the engagement.</w:t>
      </w:r>
    </w:p>
    <w:p>
      <w:pPr>
        <w:pStyle w:val="PrivoraCitation"/>
      </w:pPr>
      <w:r>
        <w:rPr>
          <w:rFonts w:ascii="Arial" w:cs="Arial" w:eastAsia="Arial" w:hAnsi="Arial"/>
          <w:color w:val="52637A"/>
          <w:sz w:val="17"/>
          <w:szCs w:val="17"/>
        </w:rPr>
        <w:t xml:space="preserve">Privora Pro workflow source of truth · Implemented workflow architecture and current product routes; reviewed 2026-08-12</w:t>
      </w:r>
    </w:p>
    <w:p>
      <w:pPr>
        <w:pStyle w:val="PrivoraCitation"/>
      </w:pPr>
      <w:r>
        <w:rPr>
          <w:rFonts w:ascii="Arial" w:cs="Arial" w:eastAsia="Arial" w:hAnsi="Arial"/>
          <w:color w:val="52637A"/>
          <w:sz w:val="17"/>
          <w:szCs w:val="17"/>
        </w:rPr>
        <w:t xml:space="preserve">Privora brand identity · Privacy Operations category, voice, and claim boundaries; reviewed 2026-08-12</w:t>
      </w:r>
    </w:p>
    <w:p>
      <w:pPr>
        <w:pStyle w:val="PrivoraCitation"/>
      </w:pPr>
      <w:r>
        <w:rPr>
          <w:rFonts w:ascii="Arial" w:cs="Arial" w:eastAsia="Arial" w:hAnsi="Arial"/>
          <w:color w:val="52637A"/>
          <w:sz w:val="17"/>
          <w:szCs w:val="17"/>
        </w:rPr>
        <w:t xml:space="preserve">Privora product marketing context · Audience, workflow problems, differentiation, and customer language; reviewed 2026-08-12</w:t>
      </w:r>
    </w:p>
    <w:p>
      <w:r>
        <w:rPr>
          <w:rFonts w:ascii="Arial" w:cs="Arial" w:eastAsia="Arial" w:hAnsi="Arial"/>
          <w:color w:val="10233E"/>
          <w:sz w:val="21"/>
          <w:szCs w:val="21"/>
        </w:rPr>
        <w:t xml:space="preserve">After review, enter approved records in Privora Pro across Clients, Team, Portal, Assessments, Calendar, Documents, Deliverables, and Audit History as appropriate. Use safe references rather than duplicating sensitive content. Retain or dispose of the completed workbook according to the organization's approved records practice.</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Onboarding workbook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90ebae7109c1dbf76215321e86b06f105a1e3eeb.png"/><Relationship Id="rId12" Type="http://schemas.openxmlformats.org/officeDocument/2006/relationships/image" Target="media/000fa8e88bf958aeb02e750d27fc9e3329403bc1.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operating baseline workbook</dc:title>
  <dc:subject>Prepare a compact reviewed baseline that can be entered into the correct Privora Pro client workflow.</dc:subject>
  <dc:creator>Privora</dc:creator>
  <cp:keywords>Privacy Operations, Privora Pro</cp:keywords>
  <dc:description>Prepare a compact reviewed baseline that can be entered into the correct Privora Pro client workflow.</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