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C89B3C"/>
          <w:sz w:val="18"/>
          <w:szCs w:val="18"/>
        </w:rPr>
        <w:t xml:space="preserve">PRIVACY OPERATIONS · PRIVORA PRO · WORKBOOK</w:t>
      </w:r>
    </w:p>
    <w:p>
      <w:pPr>
        <w:pStyle w:val="PrivoraTitle"/>
      </w:pPr>
      <w:r>
        <w:rPr>
          <w:rFonts w:ascii="Arial" w:cs="Arial" w:eastAsia="Arial" w:hAnsi="Arial"/>
          <w:b/>
          <w:bCs/>
          <w:color w:val="FFFFFF"/>
          <w:sz w:val="56"/>
          <w:szCs w:val="56"/>
        </w:rPr>
        <w:t xml:space="preserve">Prepare and control a DPIA decision record</w:t>
      </w:r>
    </w:p>
    <w:p>
      <w:pPr>
        <w:spacing w:after="220"/>
      </w:pPr>
      <w:r>
        <w:rPr>
          <w:rFonts w:ascii="Arial" w:cs="Arial" w:eastAsia="Arial" w:hAnsi="Arial"/>
          <w:color w:val="D8E1EA"/>
          <w:sz w:val="22"/>
          <w:szCs w:val="22"/>
        </w:rPr>
        <w:t xml:space="preserve">Prepare each decision input on a controlled working page before reviewed information is entered into the staged Privora Pro workflow.</w:t>
      </w:r>
    </w:p>
    <w:p>
      <w:pPr>
        <w:pBdr>
          <w:left w:val="single" w:color="C89B3C" w:sz="18"/>
        </w:pBdr>
        <w:spacing w:after="80" w:before="260" w:line="288"/>
      </w:pPr>
      <w:r>
        <w:rPr>
          <w:rFonts w:ascii="Arial" w:cs="Arial" w:eastAsia="Arial" w:hAnsi="Arial"/>
          <w:b/>
          <w:bCs/>
          <w:color w:val="C89B3C"/>
          <w:sz w:val="16"/>
          <w:szCs w:val="16"/>
        </w:rPr>
        <w:t xml:space="preserve">Primary action</w:t>
      </w:r>
      <w:r>
        <w:rPr>
          <w:rFonts w:ascii="Arial" w:cs="Arial" w:eastAsia="Arial" w:hAnsi="Arial"/>
          <w:b/>
          <w:bCs/>
          <w:color w:val="FFFFFF"/>
          <w:sz w:val="21"/>
          <w:szCs w:val="21"/>
        </w:rPr>
        <w:br/>
        <w:t xml:space="preserve">Prepare the assessment, then record reviewed information in Privora Pro.</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https://docs.privora.ng/pro/operating-library/dpia-execution</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Prepare and control a DPIA decision record</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https://docs.privora.ng/pro/operating-library/dpia-execution</w:t>
      </w:r>
    </w:p>
    <w:p>
      <w:pPr>
        <w:keepNext/>
        <w:spacing w:after="40" w:before="80"/>
      </w:pPr>
      <w:r>
        <w:rPr>
          <w:rFonts w:ascii="Arial" w:cs="Arial" w:eastAsia="Arial" w:hAnsi="Arial"/>
          <w:b/>
          <w:bCs/>
          <w:color w:val="C89B3C"/>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C89B3C"/>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C89B3C"/>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C89B3C"/>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C89B3C"/>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C89B3C"/>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C89B3C"/>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C89B3C"/>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Prepare and control a DPIA decision record</w:t>
      </w:r>
    </w:p>
    <w:p>
      <w:pPr>
        <w:shd w:fill="FBF4E5" w:val="clear"/>
      </w:pPr>
      <w:r>
        <w:rPr>
          <w:rFonts w:ascii="Arial" w:cs="Arial" w:eastAsia="Arial" w:hAnsi="Arial"/>
          <w:b/>
          <w:bCs/>
          <w:color w:val="07172D"/>
          <w:sz w:val="21"/>
          <w:szCs w:val="21"/>
        </w:rPr>
        <w:t xml:space="preserve">Operational guidance — not legal advice. This guide does not guarantee compliance.</w:t>
      </w:r>
    </w:p>
    <w:p>
      <w:r>
        <w:rPr>
          <w:rFonts w:ascii="Arial" w:cs="Arial" w:eastAsia="Arial" w:hAnsi="Arial"/>
          <w:color w:val="10233E"/>
          <w:sz w:val="21"/>
          <w:szCs w:val="21"/>
        </w:rPr>
        <w:t xml:space="preserve">This blank workbook supports preparation. It is not the approval record and does not submit anything to the NDPC. Treat completed pages as confidential working material. Privora Pro remains the operating record after reviewed information is entered.</w:t>
      </w:r>
    </w:p>
    <w:p>
      <w:r>
        <w:rPr>
          <w:rFonts w:ascii="Arial" w:cs="Arial" w:eastAsia="Arial" w:hAnsi="Arial"/>
          <w:color w:val="10233E"/>
          <w:sz w:val="21"/>
          <w:szCs w:val="21"/>
        </w:rPr>
        <w:t xml:space="preserve">Data-minimisation rule: Do not record passwords, secrets, raw sensitive data, full identity documents, live credentials, exploitable security detail, or unnecessary personal data here. Store source evidence in the authorised Privora Pro workspace and use references on these pages.</w:t>
      </w:r>
    </w:p>
    <w:p>
      <w:pPr>
        <w:pStyle w:val="Heading2"/>
        <w:pStyle w:val="Heading2"/>
      </w:pPr>
      <w:r>
        <w:rPr>
          <w:rFonts w:ascii="Arial" w:cs="Arial" w:eastAsia="Arial" w:hAnsi="Arial"/>
          <w:b/>
          <w:bCs/>
          <w:color w:val="10233E"/>
          <w:sz w:val="21"/>
          <w:szCs w:val="21"/>
        </w:rPr>
        <w:t xml:space="preserve">How to use the working pages</w:t>
      </w:r>
    </w:p>
    <w:p>
      <w:r>
        <w:rPr>
          <w:rFonts w:ascii="Arial" w:cs="Arial" w:eastAsia="Arial" w:hAnsi="Arial"/>
          <w:color w:val="10233E"/>
          <w:sz w:val="21"/>
          <w:szCs w:val="21"/>
        </w:rPr>
        <w:t xml:space="preserve">Complete the pages with the responsible owners, mark assumptions, and identify the source for each material fact. The privacy lead reviews contributions before transferring approved information into Privora Pro. A contributor may prepare a response but cannot change formal risk ratings, record a regulator outcome, certify the DPO review, or approve processing.</w:t>
      </w:r>
    </w:p>
    <w:p>
      <w:r>
        <w:rPr>
          <w:rFonts w:ascii="Arial" w:cs="Arial" w:eastAsia="Arial" w:hAnsi="Arial"/>
          <w:color w:val="10233E"/>
          <w:sz w:val="21"/>
          <w:szCs w:val="21"/>
        </w:rPr>
        <w:t xml:space="preserve">Use concise references rather than copying evidence. If a field needs sensitive operational detail, record a safe evidence ID and location. Date decisions and retain the current workbook version with the engagement's approved records policy.</w:t>
      </w:r>
    </w:p>
    <w:p>
      <w:pPr>
        <w:pStyle w:val="Heading2"/>
        <w:pStyle w:val="Heading2"/>
      </w:pPr>
      <w:r>
        <w:rPr>
          <w:rFonts w:ascii="Arial" w:cs="Arial" w:eastAsia="Arial" w:hAnsi="Arial"/>
          <w:b/>
          <w:bCs/>
          <w:color w:val="10233E"/>
          <w:sz w:val="21"/>
          <w:szCs w:val="21"/>
        </w:rPr>
        <w:t xml:space="preserve">Page 1 — Workflow charter</w:t>
      </w:r>
    </w:p>
    <w:p>
      <w:r>
        <w:rPr>
          <w:rFonts w:ascii="Arial" w:cs="Arial" w:eastAsia="Arial" w:hAnsi="Arial"/>
          <w:color w:val="10233E"/>
          <w:sz w:val="21"/>
          <w:szCs w:val="21"/>
        </w:rPr>
        <w:t xml:space="preserve">Define the decision this DPIA must inform and the operating boundary around it.</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DPIA title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Authorised Privora Pro client workspace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Processing stage</w:t>
      </w:r>
      <w:r>
        <w:rPr>
          <w:rFonts w:ascii="Arial" w:cs="Arial" w:eastAsia="Arial" w:hAnsi="Arial"/>
          <w:color w:val="52637A"/>
          <w:sz w:val="21"/>
          <w:szCs w:val="21"/>
        </w:rPr>
        <w:br/>
        <w:t xml:space="preserve">☐ Planned
☐ Pilot
☐ Ongoing</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Date the assessment must inform the processing decision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Decision this assessment must support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2 — Roles and authority</w:t>
      </w:r>
    </w:p>
    <w:p>
      <w:r>
        <w:rPr>
          <w:rFonts w:ascii="Arial" w:cs="Arial" w:eastAsia="Arial" w:hAnsi="Arial"/>
          <w:color w:val="10233E"/>
          <w:sz w:val="21"/>
          <w:szCs w:val="21"/>
        </w:rPr>
        <w:t xml:space="preserve">Name individuals, not only departments. Confirm who may contribute, evaluate, recommend, approve, and communicate externally.</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Privacy lead or DPCO consultant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Business or system owner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Security or control owner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Authorised management reviewer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Certified DPO reviewer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Segregation, conflict, or authority exceptions requiring escalation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3 — Trigger and timing screen</w:t>
      </w:r>
    </w:p>
    <w:p>
      <w:r>
        <w:rPr>
          <w:rFonts w:ascii="Arial" w:cs="Arial" w:eastAsia="Arial" w:hAnsi="Arial"/>
          <w:color w:val="10233E"/>
          <w:sz w:val="21"/>
          <w:szCs w:val="21"/>
        </w:rPr>
        <w:t xml:space="preserve">Record why the activity may create high risk and what must remain paused until the assessment informs the decision.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Potential high-risk triggers</w:t>
      </w:r>
      <w:r>
        <w:rPr>
          <w:rFonts w:ascii="Arial" w:cs="Arial" w:eastAsia="Arial" w:hAnsi="Arial"/>
          <w:color w:val="52637A"/>
          <w:sz w:val="21"/>
          <w:szCs w:val="21"/>
        </w:rPr>
        <w:br/>
        <w:t xml:space="preserve">☐ Profiling or scoring
☐ Automated decision with significant effect
☐ Systematic monitoring
☐ Sensitive data
☐ Vulnerable people
☐ Innovative technology
☐ Large scale
☐ Public surveillance
☐ Cross-border transfer
☐ Other reviewed trigger</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Connection between the selected trigger and possible rights impact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Processing, procurement, pilot, or launch activity held behind the assessment gate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Source or evidence reference for the trigger decision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4 — Scope and data flow</w:t>
      </w:r>
    </w:p>
    <w:p>
      <w:r>
        <w:rPr>
          <w:rFonts w:ascii="Arial" w:cs="Arial" w:eastAsia="Arial" w:hAnsi="Arial"/>
          <w:color w:val="10233E"/>
          <w:sz w:val="21"/>
          <w:szCs w:val="21"/>
        </w:rPr>
        <w:t xml:space="preserve">Prepare a reviewer-readable description from collection through deletion. Use a separate approved diagram where necessary and reference it here.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Nature, scope, context, and purpose of processing</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Affected groups, vulnerability factors, and approximate scale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Personal and sensitive data categories using safe category names only</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Approved data-flow or architecture evidence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Retention, deletion, processing locations, and hosting locations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Recipients, processors, purposes, locations, and contract status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Controls that detect purpose or scope expansion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5 — Lawful basis, necessity, and alternatives</w:t>
      </w:r>
    </w:p>
    <w:p>
      <w:r>
        <w:rPr>
          <w:rFonts w:ascii="Arial" w:cs="Arial" w:eastAsia="Arial" w:hAnsi="Arial"/>
          <w:color w:val="10233E"/>
          <w:sz w:val="21"/>
          <w:szCs w:val="21"/>
        </w:rPr>
        <w:t xml:space="preserve">Prepare the analysis for qualified review. A selected label does not establish a lawful conclusion.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Claimed lawful basis and purpose-specific rationale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Why the purpose cannot reasonably be achieved with less personal data</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Benefits, intrusion, affected interests, and proportionality analysis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Less intrusive alternatives and disposition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6 — Contribution register</w:t>
      </w:r>
    </w:p>
    <w:p>
      <w:r>
        <w:rPr>
          <w:rFonts w:ascii="Arial" w:cs="Arial" w:eastAsia="Arial" w:hAnsi="Arial"/>
          <w:color w:val="10233E"/>
          <w:sz w:val="21"/>
          <w:szCs w:val="21"/>
        </w:rPr>
        <w:t xml:space="preserve">Plan scoped requests. Do not paste portal responses here; reference the task and record the privacy team's review result.</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973"/>
        <w:gridCol w:w="1973"/>
        <w:gridCol w:w="1973"/>
        <w:gridCol w:w="1973"/>
        <w:gridCol w:w="1974"/>
      </w:tblGrid>
      <w:tr>
        <w:trPr>
          <w:cantSplit/>
          <w:tblHeader/>
        </w:trPr>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Contribution</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Contributor role</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Acceptance criteria</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Privora task reference</w:t>
            </w:r>
          </w:p>
        </w:tc>
        <w:tc>
          <w:tcPr>
            <w:tcW w:type="dxa" w:w="197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Review owner</w:t>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Processing context</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Business owner</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Complete flow, systems, recipients, retention</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Control evidence</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Security owner</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Period, control, operation, gap, evidence reference</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Stakeholder view</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Relevant representative</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Rights, fairness, CIA impact, recommended change</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Management recommendation</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Authorised reviewer</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Go ahead, modify, or stop recommendation with conditions</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Missing, conflicting, returned, or late contributions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Privacy-team evaluation of contribution quality and effect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7 — Vulnerability and rights impact</w:t>
      </w:r>
    </w:p>
    <w:p>
      <w:r>
        <w:rPr>
          <w:rFonts w:ascii="Arial" w:cs="Arial" w:eastAsia="Arial" w:hAnsi="Arial"/>
          <w:color w:val="10233E"/>
          <w:sz w:val="21"/>
          <w:szCs w:val="21"/>
        </w:rPr>
        <w:t xml:space="preserve">Assess impact from the data subject's perspective, not only the organisation's security perspective.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Confidentiality, integrity, and availability impacts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Vulnerability, power imbalance, and data-subject impact findings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Possible exclusion, discrimination, or unequal outcomes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How transparency, access, correction, objection, restriction, challenge, and redress operate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Remediation speed, recovery implications, and operator capacity</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8 — Risk and control record</w:t>
      </w:r>
    </w:p>
    <w:p>
      <w:r>
        <w:rPr>
          <w:rFonts w:ascii="Arial" w:cs="Arial" w:eastAsia="Arial" w:hAnsi="Arial"/>
          <w:color w:val="10233E"/>
          <w:sz w:val="21"/>
          <w:szCs w:val="21"/>
        </w:rPr>
        <w:t xml:space="preserve">Use one row per material rights risk in Privora Pro. Summarise only decision-level facts here.</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409"/>
        <w:gridCol w:w="1409"/>
        <w:gridCol w:w="1409"/>
        <w:gridCol w:w="1409"/>
        <w:gridCol w:w="1409"/>
        <w:gridCol w:w="1409"/>
        <w:gridCol w:w="1412"/>
      </w:tblGrid>
      <w:tr>
        <w:trPr>
          <w:cantSplit/>
          <w:tblHeader/>
        </w:trPr>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Risk and effect on people</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Likelihood</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Severity</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Existing or planned control</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Owner and target date</w:t>
            </w:r>
          </w:p>
        </w:tc>
        <w:tc>
          <w:tcPr>
            <w:tcW w:type="dxa" w:w="1409"/>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Residual risk</w:t>
            </w:r>
          </w:p>
        </w:tc>
        <w:tc>
          <w:tcPr>
            <w:tcW w:type="dxa" w:w="1412"/>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Evidence reference</w:t>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09"/>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412"/>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Unverified controls and unresolved treatment gaps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Privacy-by-design and default measures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Treatment readiness checks</w:t>
      </w:r>
      <w:r>
        <w:rPr>
          <w:rFonts w:ascii="Arial" w:cs="Arial" w:eastAsia="Arial" w:hAnsi="Arial"/>
          <w:color w:val="52637A"/>
          <w:sz w:val="21"/>
          <w:szCs w:val="21"/>
        </w:rPr>
        <w:br/>
        <w:t xml:space="preserve">☐ Every material risk has an individual owner
☐ Dates are realistic
☐ Evidence expectation is named
☐ Residual ratings follow control evidence
☐ Accepted risk has authorised rationale</w:t>
      </w:r>
    </w:p>
    <w:p>
      <w:pPr>
        <w:pStyle w:val="Heading2"/>
        <w:pStyle w:val="Heading2"/>
      </w:pPr>
      <w:r>
        <w:rPr>
          <w:rFonts w:ascii="Arial" w:cs="Arial" w:eastAsia="Arial" w:hAnsi="Arial"/>
          <w:b/>
          <w:bCs/>
          <w:color w:val="10233E"/>
          <w:sz w:val="21"/>
          <w:szCs w:val="21"/>
        </w:rPr>
        <w:t xml:space="preserve">Page 9 — Transfer and rights review</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Does a cross-border transfer apply?</w:t>
      </w:r>
      <w:r>
        <w:rPr>
          <w:rFonts w:ascii="Arial" w:cs="Arial" w:eastAsia="Arial" w:hAnsi="Arial"/>
          <w:color w:val="52637A"/>
          <w:sz w:val="21"/>
          <w:szCs w:val="21"/>
        </w:rPr>
        <w:br/>
        <w:t xml:space="preserve">☐ Yes
☐ No
☐ Unconfirmed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Jurisdictions, basis, safeguards, onward transfer, rights, redress, and unresolved issues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Authentication, accessibility, channel, or operational barriers to rights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10 — Decision and conditions</w:t>
      </w:r>
    </w:p>
    <w:p>
      <w:r>
        <w:rPr>
          <w:rFonts w:ascii="Arial" w:cs="Arial" w:eastAsia="Arial" w:hAnsi="Arial"/>
          <w:color w:val="10233E"/>
          <w:sz w:val="21"/>
          <w:szCs w:val="21"/>
        </w:rPr>
        <w:t xml:space="preserve">The options are go ahead, modify, or stop. Record what the choice authorises and what it does not.</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Recommended final decision</w:t>
      </w:r>
      <w:r>
        <w:rPr>
          <w:rFonts w:ascii="Arial" w:cs="Arial" w:eastAsia="Arial" w:hAnsi="Arial"/>
          <w:color w:val="52637A"/>
          <w:sz w:val="21"/>
          <w:szCs w:val="21"/>
        </w:rPr>
        <w:br/>
        <w:t xml:space="preserve">☐ Go ahead
☐ Modify
☐ Stop</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Evidence-based rationale for the decision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Conditions, dependencies, interim restrictions, and monitoring owners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Unresolved problems carried to escalation or review</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Page 11 — Prior consultation record</w:t>
      </w:r>
    </w:p>
    <w:p>
      <w:r>
        <w:rPr>
          <w:rFonts w:ascii="Arial" w:cs="Arial" w:eastAsia="Arial" w:hAnsi="Arial"/>
          <w:color w:val="10233E"/>
          <w:sz w:val="21"/>
          <w:szCs w:val="21"/>
        </w:rPr>
        <w:t xml:space="preserve">Complete only through the organisation's authorised regulatory process. Privora does not create a filing receipt.</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Does high residual risk require prior NDPC consultation?</w:t>
      </w:r>
      <w:r>
        <w:rPr>
          <w:rFonts w:ascii="Arial" w:cs="Arial" w:eastAsia="Arial" w:hAnsi="Arial"/>
          <w:color w:val="52637A"/>
          <w:sz w:val="21"/>
          <w:szCs w:val="21"/>
        </w:rPr>
        <w:br/>
        <w:t xml:space="preserve">☐ Yes
☐ No
☐ Qualified review pending</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Reviewed material, questions, authority, and approved submission route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Authentic consultation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Authentic outcome and reference, recorded only after receipt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PrivoraCitation"/>
      </w:pPr>
      <w:r>
        <w:rPr>
          <w:rFonts w:ascii="Arial" w:cs="Arial" w:eastAsia="Arial" w:hAnsi="Arial"/>
          <w:color w:val="52637A"/>
          <w:sz w:val="17"/>
          <w:szCs w:val="17"/>
        </w:rPr>
        <w:t xml:space="preserve">Nigeria Data Protection Act 2023 · Section 28(2), official PDF p. A735</w:t>
      </w:r>
    </w:p>
    <w:p>
      <w:pPr>
        <w:pStyle w:val="Heading2"/>
        <w:pStyle w:val="Heading2"/>
      </w:pPr>
      <w:r>
        <w:rPr>
          <w:rFonts w:ascii="Arial" w:cs="Arial" w:eastAsia="Arial" w:hAnsi="Arial"/>
          <w:b/>
          <w:bCs/>
          <w:color w:val="10233E"/>
          <w:sz w:val="21"/>
          <w:szCs w:val="21"/>
        </w:rPr>
        <w:t xml:space="preserve">Page 12 — Sign-off readiness</w:t>
      </w:r>
    </w:p>
    <w:p>
      <w:r>
        <w:rPr>
          <w:rFonts w:ascii="Arial" w:cs="Arial" w:eastAsia="Arial" w:hAnsi="Arial"/>
          <w:color w:val="10233E"/>
          <w:sz w:val="21"/>
          <w:szCs w:val="21"/>
        </w:rPr>
        <w:t xml:space="preserve">The certified DPO performs formal vetting in the controlled workflow. This workbook records preparation, not approval. The product's application sign-off is not a cryptographic signature or evidence of regulator endorsement.</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Certified-DPO review pack readiness</w:t>
      </w:r>
      <w:r>
        <w:rPr>
          <w:rFonts w:ascii="Arial" w:cs="Arial" w:eastAsia="Arial" w:hAnsi="Arial"/>
          <w:color w:val="52637A"/>
          <w:sz w:val="21"/>
          <w:szCs w:val="21"/>
        </w:rPr>
        <w:br/>
        <w:t xml:space="preserve">☐ Scope and sources complete
☐ Risks and treatment reviewable
☐ Decision and conditions recorded
☐ Consultation complete where required
☐ Draft status is clear
☐ Exceptions are visible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Planned or completed certified-DPO review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Privora Pro review or comments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Current controlled state</w:t>
      </w:r>
      <w:r>
        <w:rPr>
          <w:rFonts w:ascii="Arial" w:cs="Arial" w:eastAsia="Arial" w:hAnsi="Arial"/>
          <w:color w:val="52637A"/>
          <w:sz w:val="21"/>
          <w:szCs w:val="21"/>
        </w:rPr>
        <w:br/>
        <w:t xml:space="preserve">☐ Draft
☐ In review
☐ Changes required
☐ Approved in Privora Pro
☐ Stopped</w:t>
      </w:r>
    </w:p>
    <w:p>
      <w:pPr>
        <w:pStyle w:val="PrivoraCitation"/>
      </w:pPr>
      <w:r>
        <w:rPr>
          <w:rFonts w:ascii="Arial" w:cs="Arial" w:eastAsia="Arial" w:hAnsi="Arial"/>
          <w:color w:val="52637A"/>
          <w:sz w:val="17"/>
          <w:szCs w:val="17"/>
        </w:rPr>
        <w:t xml:space="preserve">General Application and Implementation Directive 2025 · Article 28(4), (11)–(13), official PDF printed pp. 33–34</w:t>
      </w:r>
    </w:p>
    <w:p>
      <w:pPr>
        <w:pStyle w:val="Heading2"/>
        <w:pStyle w:val="Heading2"/>
      </w:pPr>
      <w:r>
        <w:rPr>
          <w:rFonts w:ascii="Arial" w:cs="Arial" w:eastAsia="Arial" w:hAnsi="Arial"/>
          <w:b/>
          <w:bCs/>
          <w:color w:val="10233E"/>
          <w:sz w:val="21"/>
          <w:szCs w:val="21"/>
        </w:rPr>
        <w:t xml:space="preserve">Page 13 — Review and lessons</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Planned review frequency</w:t>
      </w:r>
      <w:r>
        <w:rPr>
          <w:rFonts w:ascii="Arial" w:cs="Arial" w:eastAsia="Arial" w:hAnsi="Arial"/>
          <w:color w:val="52637A"/>
          <w:sz w:val="21"/>
          <w:szCs w:val="21"/>
        </w:rPr>
        <w:br/>
        <w:t xml:space="preserve">☐ Monthly
☐ Bimonthly
☐ Quarterly
☐ Biannual
☐ Annual
☐ Biennial
☐ Lifecycle
☐ Custom</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Changes or events that require earlier review</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What to improve in the next assessment cycle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Operating-record completion</w:t>
      </w:r>
      <w:r>
        <w:rPr>
          <w:rFonts w:ascii="Arial" w:cs="Arial" w:eastAsia="Arial" w:hAnsi="Arial"/>
          <w:color w:val="52637A"/>
          <w:sz w:val="21"/>
          <w:szCs w:val="21"/>
        </w:rPr>
        <w:br/>
        <w:t xml:space="preserve">☐ Reviewed information entered in Privora Pro
☐ Evidence references checked
☐ Draft and approved outputs distinguished
☐ Activity history retained
☐ Next review owner informed</w:t>
      </w:r>
    </w:p>
    <w:p>
      <w:pPr>
        <w:pStyle w:val="Heading2"/>
        <w:pStyle w:val="Heading2"/>
      </w:pPr>
      <w:r>
        <w:rPr>
          <w:rFonts w:ascii="Arial" w:cs="Arial" w:eastAsia="Arial" w:hAnsi="Arial"/>
          <w:b/>
          <w:bCs/>
          <w:color w:val="10233E"/>
          <w:sz w:val="21"/>
          <w:szCs w:val="21"/>
        </w:rPr>
        <w:t xml:space="preserve">Sources and review boundary</w:t>
      </w:r>
    </w:p>
    <w:p>
      <w:pPr>
        <w:pStyle w:val="PrivoraCitation"/>
      </w:pPr>
      <w:r>
        <w:rPr>
          <w:rFonts w:ascii="Arial" w:cs="Arial" w:eastAsia="Arial" w:hAnsi="Arial"/>
          <w:color w:val="52637A"/>
          <w:sz w:val="17"/>
          <w:szCs w:val="17"/>
        </w:rPr>
        <w:t xml:space="preserve">Nigeria Data Protection Act 2023 · Section 28(1)–(4), official PDF p. A735</w:t>
      </w:r>
    </w:p>
    <w:p>
      <w:pPr>
        <w:pStyle w:val="PrivoraCitation"/>
      </w:pPr>
      <w:r>
        <w:rPr>
          <w:rFonts w:ascii="Arial" w:cs="Arial" w:eastAsia="Arial" w:hAnsi="Arial"/>
          <w:color w:val="52637A"/>
          <w:sz w:val="17"/>
          <w:szCs w:val="17"/>
        </w:rPr>
        <w:t xml:space="preserve">General Application and Implementation Directive 2025 · Article 28(1)–(13), official PDF printed pp. 31–34</w:t>
      </w:r>
    </w:p>
    <w:p>
      <w:r>
        <w:rPr>
          <w:rFonts w:ascii="Arial" w:cs="Arial" w:eastAsia="Arial" w:hAnsi="Arial"/>
          <w:color w:val="10233E"/>
          <w:sz w:val="21"/>
          <w:szCs w:val="21"/>
        </w:rPr>
        <w:t xml:space="preserve">Privora Pro remains the operating record after the privacy lead and authorised reviewers enter approved information.</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DPIA workbook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90ebae7109c1dbf76215321e86b06f105a1e3eeb.png"/><Relationship Id="rId12" Type="http://schemas.openxmlformats.org/officeDocument/2006/relationships/image" Target="media/000fa8e88bf958aeb02e750d27fc9e3329403bc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and control a DPIA decision record</dc:title>
  <dc:subject>Prepare each decision input on a controlled working page before reviewed information is entered into the staged Privora Pro workflow.</dc:subject>
  <dc:creator>Privora</dc:creator>
  <cp:keywords>Privacy Operations, Privora Pro</cp:keywords>
  <dc:description>Prepare each decision input on a controlled working page before reviewed information is entered into the staged Privora Pro workflow.</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